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2A0" w:rsidRPr="00C74A16" w:rsidRDefault="00EC52A0" w:rsidP="007B2C73">
      <w:pPr>
        <w:spacing w:after="0"/>
        <w:jc w:val="center"/>
        <w:rPr>
          <w:b/>
        </w:rPr>
      </w:pPr>
      <w:r>
        <w:rPr>
          <w:rFonts w:ascii="Trebuchet MS" w:hAnsi="Trebuchet MS"/>
          <w:noProof/>
        </w:rPr>
        <w:drawing>
          <wp:inline distT="0" distB="0" distL="0" distR="0" wp14:anchorId="530377A5" wp14:editId="4711E14A">
            <wp:extent cx="2505710" cy="762000"/>
            <wp:effectExtent l="0" t="0" r="889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710" cy="762000"/>
                    </a:xfrm>
                    <a:prstGeom prst="rect">
                      <a:avLst/>
                    </a:prstGeom>
                    <a:noFill/>
                  </pic:spPr>
                </pic:pic>
              </a:graphicData>
            </a:graphic>
          </wp:inline>
        </w:drawing>
      </w:r>
    </w:p>
    <w:p w:rsidR="00EC52A0" w:rsidRDefault="00EC52A0" w:rsidP="007B2C73">
      <w:pPr>
        <w:spacing w:after="0" w:line="240" w:lineRule="auto"/>
        <w:jc w:val="both"/>
      </w:pPr>
    </w:p>
    <w:p w:rsidR="00EC52A0" w:rsidRDefault="007B2C73" w:rsidP="007B2C73">
      <w:pPr>
        <w:spacing w:after="0" w:line="240" w:lineRule="auto"/>
        <w:ind w:left="-426"/>
        <w:jc w:val="both"/>
      </w:pPr>
      <w:r>
        <w:rPr>
          <w:b/>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69215</wp:posOffset>
                </wp:positionV>
                <wp:extent cx="6572885" cy="641350"/>
                <wp:effectExtent l="0" t="0" r="18415" b="444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885" cy="641350"/>
                        </a:xfrm>
                        <a:prstGeom prst="rect">
                          <a:avLst/>
                        </a:prstGeom>
                        <a:gradFill rotWithShape="0">
                          <a:gsLst>
                            <a:gs pos="0">
                              <a:srgbClr val="70AD47"/>
                            </a:gs>
                            <a:gs pos="100000">
                              <a:srgbClr val="527F34"/>
                            </a:gs>
                          </a:gsLst>
                          <a:path path="shape">
                            <a:fillToRect l="50000" t="50000" r="50000" b="50000"/>
                          </a:path>
                        </a:gradFill>
                        <a:ln>
                          <a:noFill/>
                        </a:ln>
                        <a:effectLst>
                          <a:outerShdw dist="28398" dir="3806097" algn="ctr" rotWithShape="0">
                            <a:srgbClr val="375623"/>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6C0646" w:rsidRPr="00607BFA" w:rsidRDefault="006C0646" w:rsidP="00EC52A0">
                            <w:pPr>
                              <w:jc w:val="center"/>
                              <w:rPr>
                                <w:rFonts w:ascii="Calibri" w:hAnsi="Calibri" w:cs="Calibri"/>
                                <w:b/>
                                <w:color w:val="FFFFFF"/>
                                <w:sz w:val="28"/>
                                <w:szCs w:val="28"/>
                              </w:rPr>
                            </w:pPr>
                            <w:r w:rsidRPr="00607BFA">
                              <w:rPr>
                                <w:rFonts w:ascii="Calibri" w:hAnsi="Calibri" w:cs="Calibri"/>
                                <w:b/>
                                <w:color w:val="FFFFFF"/>
                                <w:sz w:val="28"/>
                                <w:szCs w:val="28"/>
                              </w:rPr>
                              <w:t>SOUTIEN AUX PROJETS DOCTORAUX</w:t>
                            </w:r>
                            <w:r w:rsidRPr="00607BFA">
                              <w:rPr>
                                <w:rFonts w:ascii="Calibri" w:hAnsi="Calibri" w:cs="Calibri"/>
                                <w:b/>
                                <w:color w:val="FFFFFF"/>
                                <w:sz w:val="28"/>
                                <w:szCs w:val="28"/>
                              </w:rPr>
                              <w:tab/>
                            </w:r>
                            <w:r>
                              <w:rPr>
                                <w:rFonts w:ascii="Calibri" w:hAnsi="Calibri" w:cs="Calibri"/>
                                <w:b/>
                                <w:color w:val="FFFFFF"/>
                                <w:sz w:val="28"/>
                                <w:szCs w:val="28"/>
                              </w:rPr>
                              <w:t xml:space="preserve"> - 2017</w:t>
                            </w:r>
                          </w:p>
                          <w:p w:rsidR="006C0646" w:rsidRPr="00607BFA" w:rsidRDefault="006C0646" w:rsidP="00126F5D">
                            <w:pPr>
                              <w:jc w:val="center"/>
                              <w:rPr>
                                <w:rFonts w:ascii="Calibri" w:hAnsi="Calibri" w:cs="Calibri"/>
                                <w:b/>
                                <w:color w:val="FFFFFF"/>
                                <w:sz w:val="28"/>
                                <w:szCs w:val="28"/>
                              </w:rPr>
                            </w:pPr>
                            <w:r w:rsidRPr="00607BFA">
                              <w:rPr>
                                <w:rFonts w:ascii="Calibri" w:hAnsi="Calibri" w:cs="Calibri"/>
                                <w:b/>
                                <w:color w:val="FFFFFF"/>
                                <w:sz w:val="28"/>
                                <w:szCs w:val="28"/>
                              </w:rPr>
                              <w:t>ORIENTATIONS</w:t>
                            </w:r>
                          </w:p>
                          <w:p w:rsidR="006C0646" w:rsidRPr="00D257C5" w:rsidRDefault="006C0646" w:rsidP="00EC52A0">
                            <w:pPr>
                              <w:jc w:val="center"/>
                              <w:rPr>
                                <w:b/>
                                <w:color w:val="FFFFFF"/>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5.45pt;width:517.55pt;height:5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" fillcolor="#70ad47" stroked="f" strokeweight="0">
                <v:fill color2="#527f34" focusposition=".5,.5" focussize="" focus="100%" type="gradientRadial"/>
                <v:shadow on="t" color="#375623" offset="1pt"/>
                <v:textbox>
                  <w:txbxContent>
                    <w:p w:rsidR="006C0646" w:rsidRPr="00607BFA" w:rsidRDefault="006C0646" w:rsidP="00EC52A0">
                      <w:pPr>
                        <w:jc w:val="center"/>
                        <w:rPr>
                          <w:rFonts w:ascii="Calibri" w:hAnsi="Calibri" w:cs="Calibri"/>
                          <w:b/>
                          <w:color w:val="FFFFFF"/>
                          <w:sz w:val="28"/>
                          <w:szCs w:val="28"/>
                        </w:rPr>
                      </w:pPr>
                      <w:r w:rsidRPr="00607BFA">
                        <w:rPr>
                          <w:rFonts w:ascii="Calibri" w:hAnsi="Calibri" w:cs="Calibri"/>
                          <w:b/>
                          <w:color w:val="FFFFFF"/>
                          <w:sz w:val="28"/>
                          <w:szCs w:val="28"/>
                        </w:rPr>
                        <w:t>SOUTIEN AUX PROJETS DOCTORAUX</w:t>
                      </w:r>
                      <w:r w:rsidRPr="00607BFA">
                        <w:rPr>
                          <w:rFonts w:ascii="Calibri" w:hAnsi="Calibri" w:cs="Calibri"/>
                          <w:b/>
                          <w:color w:val="FFFFFF"/>
                          <w:sz w:val="28"/>
                          <w:szCs w:val="28"/>
                        </w:rPr>
                        <w:tab/>
                      </w:r>
                      <w:r>
                        <w:rPr>
                          <w:rFonts w:ascii="Calibri" w:hAnsi="Calibri" w:cs="Calibri"/>
                          <w:b/>
                          <w:color w:val="FFFFFF"/>
                          <w:sz w:val="28"/>
                          <w:szCs w:val="28"/>
                        </w:rPr>
                        <w:t xml:space="preserve"> - 2017</w:t>
                      </w:r>
                    </w:p>
                    <w:p w:rsidR="006C0646" w:rsidRPr="00607BFA" w:rsidRDefault="006C0646" w:rsidP="00126F5D">
                      <w:pPr>
                        <w:jc w:val="center"/>
                        <w:rPr>
                          <w:rFonts w:ascii="Calibri" w:hAnsi="Calibri" w:cs="Calibri"/>
                          <w:b/>
                          <w:color w:val="FFFFFF"/>
                          <w:sz w:val="28"/>
                          <w:szCs w:val="28"/>
                        </w:rPr>
                      </w:pPr>
                      <w:r w:rsidRPr="00607BFA">
                        <w:rPr>
                          <w:rFonts w:ascii="Calibri" w:hAnsi="Calibri" w:cs="Calibri"/>
                          <w:b/>
                          <w:color w:val="FFFFFF"/>
                          <w:sz w:val="28"/>
                          <w:szCs w:val="28"/>
                        </w:rPr>
                        <w:t>ORIENTATIONS</w:t>
                      </w:r>
                    </w:p>
                    <w:p w:rsidR="006C0646" w:rsidRPr="00D257C5" w:rsidRDefault="006C0646" w:rsidP="00EC52A0">
                      <w:pPr>
                        <w:jc w:val="center"/>
                        <w:rPr>
                          <w:b/>
                          <w:color w:val="FFFFFF"/>
                          <w:sz w:val="24"/>
                          <w:szCs w:val="24"/>
                        </w:rPr>
                      </w:pPr>
                    </w:p>
                  </w:txbxContent>
                </v:textbox>
                <w10:wrap anchorx="page"/>
              </v:shape>
            </w:pict>
          </mc:Fallback>
        </mc:AlternateContent>
      </w:r>
    </w:p>
    <w:p w:rsidR="00EC52A0" w:rsidRDefault="00EC52A0" w:rsidP="007B2C73">
      <w:pPr>
        <w:spacing w:after="0" w:line="240" w:lineRule="auto"/>
        <w:ind w:left="-426"/>
        <w:jc w:val="both"/>
      </w:pPr>
    </w:p>
    <w:p w:rsidR="007B2C73" w:rsidRDefault="007B2C73" w:rsidP="007B2C73">
      <w:pPr>
        <w:spacing w:after="0" w:line="240" w:lineRule="auto"/>
        <w:ind w:left="-426"/>
        <w:jc w:val="both"/>
      </w:pPr>
    </w:p>
    <w:p w:rsidR="007B2C73" w:rsidRDefault="007B2C73" w:rsidP="007B2C73">
      <w:pPr>
        <w:spacing w:after="0" w:line="240" w:lineRule="auto"/>
        <w:ind w:left="-426"/>
        <w:jc w:val="both"/>
      </w:pPr>
    </w:p>
    <w:p w:rsidR="007B2C73" w:rsidRDefault="007B2C73" w:rsidP="007B2C73">
      <w:pPr>
        <w:spacing w:after="0" w:line="240" w:lineRule="auto"/>
        <w:ind w:left="-426"/>
        <w:jc w:val="both"/>
      </w:pPr>
    </w:p>
    <w:p w:rsidR="007B2C73" w:rsidRDefault="007B2C73" w:rsidP="007B2C73">
      <w:pPr>
        <w:spacing w:after="0" w:line="240" w:lineRule="auto"/>
        <w:ind w:left="-426"/>
        <w:jc w:val="both"/>
      </w:pPr>
    </w:p>
    <w:p w:rsidR="00A25F25" w:rsidRPr="00A25F25" w:rsidRDefault="00A25F25" w:rsidP="007B2C73">
      <w:pPr>
        <w:spacing w:after="0" w:line="240" w:lineRule="auto"/>
        <w:ind w:left="-426"/>
        <w:jc w:val="both"/>
      </w:pPr>
      <w:r w:rsidRPr="00A25F25">
        <w:t xml:space="preserve">La définition et la mise en œuvre d’une politique régionale ambitieuse en matière de recherche constitue l’un des facteurs déterminants pour la compétitivité, l'attractivité et le rayonnement du territoire du Grand Est. C’est pourquoi la Région Grand Est a fait le choix de s’investir de façon très volontariste afin que l’ensemble des acteurs de la recherche poursuivent leur chemin vers l’excellence quelle que soit la discipline et le territoire concerné. </w:t>
      </w:r>
    </w:p>
    <w:p w:rsidR="00A25F25" w:rsidRDefault="00A25F25" w:rsidP="007B2C73">
      <w:pPr>
        <w:spacing w:after="0" w:line="240" w:lineRule="auto"/>
        <w:ind w:left="-426"/>
        <w:jc w:val="both"/>
      </w:pPr>
      <w:r w:rsidRPr="00A25F25">
        <w:t>Les dispositifs que la Région Grand Est entend mettre en œuvre répondent à un grand nombre d’enjeux au cœur des préoccupatio</w:t>
      </w:r>
      <w:r w:rsidR="00E87CA2">
        <w:t>ns régionales, parmi lesquels :</w:t>
      </w:r>
    </w:p>
    <w:p w:rsidR="007B2C73" w:rsidRPr="00A25F25" w:rsidRDefault="007B2C73" w:rsidP="007B2C73">
      <w:pPr>
        <w:spacing w:after="0" w:line="240" w:lineRule="auto"/>
        <w:ind w:left="-426"/>
        <w:jc w:val="both"/>
      </w:pPr>
    </w:p>
    <w:p w:rsidR="00E87CA2" w:rsidRPr="00A25F25" w:rsidRDefault="00E87CA2" w:rsidP="00E87CA2">
      <w:pPr>
        <w:spacing w:after="0" w:line="240" w:lineRule="auto"/>
        <w:ind w:left="708"/>
        <w:jc w:val="both"/>
      </w:pPr>
      <w:r>
        <w:t xml:space="preserve">- </w:t>
      </w:r>
      <w:r w:rsidR="00126F5D">
        <w:t>l</w:t>
      </w:r>
      <w:r w:rsidR="00A25F25" w:rsidRPr="00A25F25">
        <w:t>a reconnaissance de la qual</w:t>
      </w:r>
      <w:r>
        <w:t>ité de la recherche académique,</w:t>
      </w:r>
    </w:p>
    <w:p w:rsidR="00A25F25" w:rsidRPr="00A25F25" w:rsidRDefault="00A25F25" w:rsidP="007B2C73">
      <w:pPr>
        <w:spacing w:after="0" w:line="240" w:lineRule="auto"/>
        <w:ind w:left="708"/>
        <w:jc w:val="both"/>
      </w:pPr>
      <w:r w:rsidRPr="00A25F25">
        <w:t xml:space="preserve">- </w:t>
      </w:r>
      <w:r w:rsidR="00126F5D">
        <w:t>l</w:t>
      </w:r>
      <w:r w:rsidRPr="00A25F25">
        <w:t>e développement économique en li</w:t>
      </w:r>
      <w:r w:rsidR="00260CBE">
        <w:t>en avec l’écosystème régional,</w:t>
      </w:r>
    </w:p>
    <w:p w:rsidR="00A25F25" w:rsidRPr="00A25F25" w:rsidRDefault="00A25F25" w:rsidP="007B2C73">
      <w:pPr>
        <w:spacing w:after="0" w:line="240" w:lineRule="auto"/>
        <w:ind w:left="708"/>
        <w:jc w:val="both"/>
      </w:pPr>
      <w:r w:rsidRPr="00A25F25">
        <w:t xml:space="preserve">- </w:t>
      </w:r>
      <w:r w:rsidR="00126F5D">
        <w:t>l</w:t>
      </w:r>
      <w:r w:rsidRPr="00A25F25">
        <w:t>’employabilité et l’insertion profess</w:t>
      </w:r>
      <w:r w:rsidR="00260CBE">
        <w:t>ionnelle des jeunes chercheurs,</w:t>
      </w:r>
    </w:p>
    <w:p w:rsidR="00A25F25" w:rsidRDefault="00A25F25" w:rsidP="007B2C73">
      <w:pPr>
        <w:spacing w:after="0" w:line="240" w:lineRule="auto"/>
        <w:ind w:left="708"/>
        <w:jc w:val="both"/>
      </w:pPr>
      <w:r w:rsidRPr="00A25F25">
        <w:t xml:space="preserve">- </w:t>
      </w:r>
      <w:r w:rsidR="00126F5D">
        <w:t>l</w:t>
      </w:r>
      <w:r w:rsidRPr="00A25F25">
        <w:t xml:space="preserve">’attractivité et le rayonnement du territoire. </w:t>
      </w:r>
    </w:p>
    <w:p w:rsidR="007B2C73" w:rsidRPr="00A25F25" w:rsidRDefault="007B2C73" w:rsidP="007B2C73">
      <w:pPr>
        <w:spacing w:after="0" w:line="240" w:lineRule="auto"/>
        <w:ind w:left="708"/>
        <w:jc w:val="both"/>
      </w:pPr>
    </w:p>
    <w:p w:rsidR="00126F5D" w:rsidRDefault="00126F5D" w:rsidP="007B2C73">
      <w:pPr>
        <w:spacing w:after="0" w:line="240" w:lineRule="auto"/>
        <w:ind w:left="-426"/>
        <w:jc w:val="both"/>
      </w:pPr>
      <w:r w:rsidRPr="00126F5D">
        <w:t xml:space="preserve">Parmi ces dispositifs, celui du soutien aux projets doctoraux </w:t>
      </w:r>
      <w:r w:rsidR="00E87CA2">
        <w:t>poursuit les objectifs suivants :</w:t>
      </w:r>
    </w:p>
    <w:p w:rsidR="007B2C73" w:rsidRPr="00126F5D" w:rsidRDefault="007B2C73" w:rsidP="007B2C73">
      <w:pPr>
        <w:spacing w:after="0" w:line="240" w:lineRule="auto"/>
        <w:ind w:left="-426"/>
        <w:jc w:val="both"/>
      </w:pPr>
    </w:p>
    <w:p w:rsidR="00126F5D" w:rsidRPr="00126F5D" w:rsidRDefault="00126F5D" w:rsidP="007B2C73">
      <w:pPr>
        <w:spacing w:after="0" w:line="240" w:lineRule="auto"/>
        <w:ind w:left="708"/>
        <w:jc w:val="both"/>
      </w:pPr>
      <w:r>
        <w:t xml:space="preserve">- </w:t>
      </w:r>
      <w:r w:rsidRPr="00126F5D">
        <w:t>produire des savoirs et des connaissances favorisant une meilleure compréhension des phénomènes et une co</w:t>
      </w:r>
      <w:r>
        <w:t>nnaissance approfondie du monde,</w:t>
      </w:r>
    </w:p>
    <w:p w:rsidR="00126F5D" w:rsidRPr="00126F5D" w:rsidRDefault="00126F5D" w:rsidP="007B2C73">
      <w:pPr>
        <w:spacing w:after="0" w:line="240" w:lineRule="auto"/>
        <w:ind w:left="708"/>
        <w:jc w:val="both"/>
      </w:pPr>
      <w:r>
        <w:t xml:space="preserve">- </w:t>
      </w:r>
      <w:r w:rsidRPr="00126F5D">
        <w:t>dynamiser le transfert des résultats vers le secteur économique</w:t>
      </w:r>
      <w:r>
        <w:t>,</w:t>
      </w:r>
    </w:p>
    <w:p w:rsidR="00126F5D" w:rsidRPr="00126F5D" w:rsidRDefault="00126F5D" w:rsidP="007B2C73">
      <w:pPr>
        <w:spacing w:after="0" w:line="240" w:lineRule="auto"/>
        <w:ind w:left="708"/>
        <w:jc w:val="both"/>
      </w:pPr>
      <w:r>
        <w:t xml:space="preserve">- </w:t>
      </w:r>
      <w:r w:rsidRPr="00126F5D">
        <w:t>former et professionnaliser des doctorants dans une perspective d’i</w:t>
      </w:r>
      <w:r>
        <w:t>nsertion professionnelle rapide,</w:t>
      </w:r>
    </w:p>
    <w:p w:rsidR="00126F5D" w:rsidRPr="00126F5D" w:rsidRDefault="00126F5D" w:rsidP="007B2C73">
      <w:pPr>
        <w:spacing w:after="0" w:line="240" w:lineRule="auto"/>
        <w:ind w:left="708"/>
        <w:jc w:val="both"/>
      </w:pPr>
      <w:r>
        <w:t xml:space="preserve">- </w:t>
      </w:r>
      <w:r w:rsidRPr="00126F5D">
        <w:t>attirer des jeunes talents afin de renforcer les équipes de recherche.</w:t>
      </w:r>
    </w:p>
    <w:p w:rsidR="00126F5D" w:rsidRPr="00126F5D" w:rsidRDefault="00126F5D" w:rsidP="007B2C73">
      <w:pPr>
        <w:spacing w:after="0" w:line="240" w:lineRule="auto"/>
        <w:contextualSpacing/>
        <w:jc w:val="both"/>
        <w:rPr>
          <w:rFonts w:ascii="Arial" w:eastAsia="Calibri" w:hAnsi="Arial" w:cs="Arial"/>
          <w:lang w:eastAsia="en-US"/>
        </w:rPr>
      </w:pPr>
    </w:p>
    <w:p w:rsidR="00A25F25" w:rsidRDefault="00A25F25" w:rsidP="007B2C73">
      <w:pPr>
        <w:spacing w:after="0" w:line="240" w:lineRule="auto"/>
        <w:ind w:left="-426"/>
        <w:jc w:val="both"/>
      </w:pPr>
    </w:p>
    <w:p w:rsidR="00EC52A0" w:rsidRPr="00CE03C7" w:rsidRDefault="00EC52A0" w:rsidP="007B2C73">
      <w:pPr>
        <w:shd w:val="clear" w:color="auto" w:fill="365F91"/>
        <w:spacing w:after="0"/>
        <w:ind w:left="-426"/>
        <w:jc w:val="both"/>
        <w:rPr>
          <w:b/>
          <w:color w:val="FFFFFF"/>
          <w:sz w:val="26"/>
          <w:szCs w:val="26"/>
        </w:rPr>
      </w:pPr>
      <w:r>
        <w:rPr>
          <w:b/>
          <w:color w:val="FFFFFF"/>
          <w:sz w:val="26"/>
          <w:szCs w:val="26"/>
        </w:rPr>
        <w:t>Quelles sont les demandes éligibles</w:t>
      </w:r>
      <w:r w:rsidR="003D3233">
        <w:rPr>
          <w:b/>
          <w:color w:val="FFFFFF"/>
          <w:sz w:val="26"/>
          <w:szCs w:val="26"/>
        </w:rPr>
        <w:t xml:space="preserve"> et principes de mise en œuvre </w:t>
      </w:r>
      <w:r>
        <w:rPr>
          <w:b/>
          <w:color w:val="FFFFFF"/>
          <w:sz w:val="26"/>
          <w:szCs w:val="26"/>
        </w:rPr>
        <w:t>?</w:t>
      </w:r>
    </w:p>
    <w:p w:rsidR="00EC52A0" w:rsidRDefault="00EC52A0" w:rsidP="007B2C73">
      <w:pPr>
        <w:shd w:val="clear" w:color="auto" w:fill="FFFFFF"/>
        <w:spacing w:after="0"/>
        <w:ind w:left="-426"/>
        <w:jc w:val="both"/>
      </w:pPr>
    </w:p>
    <w:p w:rsidR="00126F5D" w:rsidRDefault="00EC52A0" w:rsidP="007B2C73">
      <w:pPr>
        <w:numPr>
          <w:ilvl w:val="0"/>
          <w:numId w:val="6"/>
        </w:numPr>
        <w:shd w:val="clear" w:color="auto" w:fill="FFFFFF"/>
        <w:spacing w:after="0"/>
        <w:jc w:val="both"/>
      </w:pPr>
      <w:r w:rsidRPr="00CC18F7">
        <w:t xml:space="preserve">Les projets </w:t>
      </w:r>
      <w:r w:rsidR="00126F5D">
        <w:t xml:space="preserve">doctoraux </w:t>
      </w:r>
      <w:r w:rsidR="003D3233">
        <w:t>soumis à la Région</w:t>
      </w:r>
      <w:r w:rsidR="00126F5D">
        <w:t> :</w:t>
      </w:r>
    </w:p>
    <w:p w:rsidR="007B2C73" w:rsidRDefault="007B2C73" w:rsidP="007B2C73">
      <w:pPr>
        <w:shd w:val="clear" w:color="auto" w:fill="FFFFFF"/>
        <w:spacing w:after="0"/>
        <w:ind w:left="294"/>
        <w:jc w:val="both"/>
      </w:pPr>
    </w:p>
    <w:p w:rsidR="003D3233" w:rsidRPr="003D3233" w:rsidRDefault="003D3233" w:rsidP="007B2C73">
      <w:pPr>
        <w:numPr>
          <w:ilvl w:val="1"/>
          <w:numId w:val="6"/>
        </w:numPr>
        <w:shd w:val="clear" w:color="auto" w:fill="FFFFFF"/>
        <w:spacing w:after="0"/>
        <w:jc w:val="both"/>
      </w:pPr>
      <w:r w:rsidRPr="003D3233">
        <w:rPr>
          <w:b/>
        </w:rPr>
        <w:t xml:space="preserve">peuvent </w:t>
      </w:r>
      <w:r w:rsidR="00126F5D" w:rsidRPr="003D3233">
        <w:rPr>
          <w:b/>
        </w:rPr>
        <w:t xml:space="preserve">relever de la recherche fondamentale ou </w:t>
      </w:r>
      <w:r w:rsidR="00EC52A0" w:rsidRPr="003D3233">
        <w:rPr>
          <w:b/>
        </w:rPr>
        <w:t>appliqué</w:t>
      </w:r>
      <w:r w:rsidR="00126F5D" w:rsidRPr="003D3233">
        <w:rPr>
          <w:b/>
        </w:rPr>
        <w:t>e</w:t>
      </w:r>
      <w:r w:rsidRPr="003D3233">
        <w:rPr>
          <w:b/>
        </w:rPr>
        <w:t xml:space="preserve"> en lien </w:t>
      </w:r>
      <w:r w:rsidRPr="00126F5D">
        <w:rPr>
          <w:b/>
        </w:rPr>
        <w:t>avec les thématiques des</w:t>
      </w:r>
      <w:r w:rsidR="00EC52A0" w:rsidRPr="003D3233">
        <w:rPr>
          <w:b/>
        </w:rPr>
        <w:t xml:space="preserve"> Stratégie</w:t>
      </w:r>
      <w:r w:rsidR="0060706E">
        <w:rPr>
          <w:b/>
        </w:rPr>
        <w:t>s</w:t>
      </w:r>
      <w:r w:rsidR="00EC52A0" w:rsidRPr="003D3233">
        <w:rPr>
          <w:b/>
        </w:rPr>
        <w:t xml:space="preserve"> de Spécialisation Intelligente (S3</w:t>
      </w:r>
      <w:r w:rsidR="00126F5D" w:rsidRPr="003D3233">
        <w:rPr>
          <w:b/>
        </w:rPr>
        <w:t xml:space="preserve">) </w:t>
      </w:r>
      <w:r w:rsidR="00126F5D" w:rsidRPr="003D3233">
        <w:t>en vigueur sur chacun des anciens territoires (</w:t>
      </w:r>
      <w:r w:rsidR="00EC52A0" w:rsidRPr="003D3233">
        <w:t xml:space="preserve">vous référez au dossier de candidature </w:t>
      </w:r>
      <w:r w:rsidR="0060706E">
        <w:t>pour connaître les thématiques),</w:t>
      </w:r>
    </w:p>
    <w:p w:rsidR="00EC52A0" w:rsidRDefault="003D3233" w:rsidP="007B2C73">
      <w:pPr>
        <w:numPr>
          <w:ilvl w:val="1"/>
          <w:numId w:val="6"/>
        </w:numPr>
        <w:shd w:val="clear" w:color="auto" w:fill="FFFFFF"/>
        <w:spacing w:after="0"/>
        <w:jc w:val="both"/>
      </w:pPr>
      <w:r w:rsidRPr="003D3233">
        <w:rPr>
          <w:b/>
        </w:rPr>
        <w:t>et/</w:t>
      </w:r>
      <w:r w:rsidR="00EC52A0" w:rsidRPr="003D3233">
        <w:rPr>
          <w:b/>
        </w:rPr>
        <w:t>ou présenteront un</w:t>
      </w:r>
      <w:r w:rsidR="00EC52A0">
        <w:t xml:space="preserve"> </w:t>
      </w:r>
      <w:r w:rsidR="00EC52A0" w:rsidRPr="004A7DDF">
        <w:rPr>
          <w:b/>
        </w:rPr>
        <w:t>intérêt particulier</w:t>
      </w:r>
      <w:r w:rsidR="00EC52A0">
        <w:rPr>
          <w:b/>
        </w:rPr>
        <w:t xml:space="preserve"> au regard des politiques régionales </w:t>
      </w:r>
      <w:r w:rsidR="00EC52A0" w:rsidRPr="004A7DDF">
        <w:t>(culture, histoi</w:t>
      </w:r>
      <w:r w:rsidR="00EC52A0">
        <w:t>re, patrimoine, environnement, E</w:t>
      </w:r>
      <w:r w:rsidR="00EC52A0" w:rsidRPr="004A7DDF">
        <w:t>urope etc..)</w:t>
      </w:r>
      <w:r w:rsidR="00EC52A0">
        <w:t>.</w:t>
      </w:r>
    </w:p>
    <w:p w:rsidR="007B2C73" w:rsidRPr="00E33AED" w:rsidRDefault="007B2C73" w:rsidP="007B2C73">
      <w:pPr>
        <w:shd w:val="clear" w:color="auto" w:fill="FFFFFF"/>
        <w:spacing w:after="0"/>
        <w:ind w:left="1014"/>
        <w:jc w:val="both"/>
      </w:pPr>
    </w:p>
    <w:p w:rsidR="00C96D9F" w:rsidRDefault="00EC52A0" w:rsidP="007B2C73">
      <w:pPr>
        <w:numPr>
          <w:ilvl w:val="0"/>
          <w:numId w:val="6"/>
        </w:numPr>
        <w:shd w:val="clear" w:color="auto" w:fill="FFFFFF"/>
        <w:spacing w:after="0"/>
        <w:jc w:val="both"/>
      </w:pPr>
      <w:r w:rsidRPr="006C0D99">
        <w:t xml:space="preserve">Un </w:t>
      </w:r>
      <w:r w:rsidR="003D3233" w:rsidRPr="006C0D99">
        <w:t xml:space="preserve">principe de </w:t>
      </w:r>
      <w:r w:rsidR="003D3233" w:rsidRPr="006C0D99">
        <w:rPr>
          <w:b/>
        </w:rPr>
        <w:t>cofinancement</w:t>
      </w:r>
      <w:r w:rsidR="00B80F80" w:rsidRPr="006C0D99">
        <w:rPr>
          <w:b/>
        </w:rPr>
        <w:t> </w:t>
      </w:r>
      <w:r w:rsidR="00B80F80" w:rsidRPr="00C96D9F">
        <w:rPr>
          <w:b/>
        </w:rPr>
        <w:t>:</w:t>
      </w:r>
    </w:p>
    <w:p w:rsidR="007B2C73" w:rsidRDefault="007B2C73" w:rsidP="007B2C73">
      <w:pPr>
        <w:shd w:val="clear" w:color="auto" w:fill="FFFFFF"/>
        <w:spacing w:after="0"/>
        <w:ind w:left="294"/>
        <w:jc w:val="both"/>
      </w:pPr>
    </w:p>
    <w:p w:rsidR="00C96D9F" w:rsidRDefault="00B80F80" w:rsidP="007B2C73">
      <w:pPr>
        <w:numPr>
          <w:ilvl w:val="1"/>
          <w:numId w:val="6"/>
        </w:numPr>
        <w:shd w:val="clear" w:color="auto" w:fill="FFFFFF"/>
        <w:spacing w:after="0"/>
        <w:jc w:val="both"/>
      </w:pPr>
      <w:r w:rsidRPr="00C96D9F">
        <w:rPr>
          <w:b/>
        </w:rPr>
        <w:t xml:space="preserve">la participation </w:t>
      </w:r>
      <w:r w:rsidR="00C96D9F">
        <w:rPr>
          <w:b/>
        </w:rPr>
        <w:t xml:space="preserve">régionale </w:t>
      </w:r>
      <w:r w:rsidRPr="00C96D9F">
        <w:rPr>
          <w:b/>
        </w:rPr>
        <w:t>s’élève</w:t>
      </w:r>
      <w:r w:rsidR="00966D06">
        <w:rPr>
          <w:b/>
        </w:rPr>
        <w:t xml:space="preserve"> </w:t>
      </w:r>
      <w:r w:rsidRPr="00C96D9F">
        <w:rPr>
          <w:b/>
        </w:rPr>
        <w:t>à 50% maximum</w:t>
      </w:r>
      <w:r w:rsidR="00966D06" w:rsidRPr="00C96D9F">
        <w:rPr>
          <w:b/>
        </w:rPr>
        <w:t xml:space="preserve">, sauf exception, </w:t>
      </w:r>
      <w:r w:rsidRPr="00C96D9F">
        <w:rPr>
          <w:b/>
        </w:rPr>
        <w:t>du salaire « chargé » du doctorant</w:t>
      </w:r>
      <w:r w:rsidR="00CE4A3A" w:rsidRPr="00CE4A3A">
        <w:rPr>
          <w:b/>
        </w:rPr>
        <w:t xml:space="preserve"> </w:t>
      </w:r>
      <w:r w:rsidR="00CE4A3A">
        <w:rPr>
          <w:b/>
        </w:rPr>
        <w:t>(</w:t>
      </w:r>
      <w:r w:rsidR="00CE4A3A" w:rsidRPr="008533D5">
        <w:rPr>
          <w:b/>
        </w:rPr>
        <w:t xml:space="preserve">à l’exclusion de toute autre </w:t>
      </w:r>
      <w:r w:rsidR="00CE4A3A">
        <w:rPr>
          <w:b/>
        </w:rPr>
        <w:t>coût de f</w:t>
      </w:r>
      <w:r w:rsidR="00CE4A3A" w:rsidRPr="008533D5">
        <w:rPr>
          <w:b/>
        </w:rPr>
        <w:t>onctionnement</w:t>
      </w:r>
      <w:r w:rsidR="00CE4A3A">
        <w:rPr>
          <w:b/>
        </w:rPr>
        <w:t>)</w:t>
      </w:r>
      <w:r w:rsidRPr="00C96D9F">
        <w:rPr>
          <w:b/>
        </w:rPr>
        <w:t xml:space="preserve"> sur une période de 3 années dans la limite de 50 K€. </w:t>
      </w:r>
      <w:r w:rsidRPr="00C96D9F">
        <w:t xml:space="preserve">Le taux est appliqué au </w:t>
      </w:r>
      <w:r w:rsidRPr="00C96D9F">
        <w:rPr>
          <w:b/>
        </w:rPr>
        <w:t>niveau de rémunération pratiqué par l’organisme bénéficiaire chargé de la gestion du contrat de travail</w:t>
      </w:r>
      <w:r w:rsidRPr="00C96D9F">
        <w:t>.</w:t>
      </w:r>
      <w:r w:rsidRPr="00B80F80">
        <w:t xml:space="preserve"> Un </w:t>
      </w:r>
      <w:r w:rsidRPr="00C96D9F">
        <w:rPr>
          <w:b/>
        </w:rPr>
        <w:t>cofinancement, sauf exception, est donc exigé</w:t>
      </w:r>
      <w:r w:rsidRPr="00B80F80">
        <w:t xml:space="preserve"> quel qu’en soit l’origine. </w:t>
      </w:r>
      <w:r w:rsidR="00EC52A0" w:rsidRPr="00B80F80">
        <w:t xml:space="preserve">Les financements régionaux à 100% </w:t>
      </w:r>
      <w:r w:rsidR="00EC52A0" w:rsidRPr="00C96D9F">
        <w:t xml:space="preserve">seront </w:t>
      </w:r>
      <w:r w:rsidR="00EC52A0" w:rsidRPr="00C96D9F">
        <w:rPr>
          <w:b/>
        </w:rPr>
        <w:t xml:space="preserve">limités en nombre et </w:t>
      </w:r>
      <w:r w:rsidRPr="00C96D9F">
        <w:rPr>
          <w:b/>
        </w:rPr>
        <w:t xml:space="preserve">réservés </w:t>
      </w:r>
      <w:r w:rsidR="00262CB8" w:rsidRPr="00C96D9F">
        <w:rPr>
          <w:b/>
        </w:rPr>
        <w:t>en priorité aux projets doctoraux relevant des s</w:t>
      </w:r>
      <w:r w:rsidR="00EC52A0" w:rsidRPr="00C96D9F">
        <w:rPr>
          <w:b/>
        </w:rPr>
        <w:t>ciences humaines et sociales</w:t>
      </w:r>
      <w:r w:rsidRPr="00C96D9F">
        <w:rPr>
          <w:b/>
        </w:rPr>
        <w:t xml:space="preserve"> </w:t>
      </w:r>
      <w:r w:rsidR="00262CB8" w:rsidRPr="00C96D9F">
        <w:rPr>
          <w:b/>
        </w:rPr>
        <w:t xml:space="preserve">ou de </w:t>
      </w:r>
      <w:r w:rsidRPr="00C96D9F">
        <w:rPr>
          <w:b/>
        </w:rPr>
        <w:t>la recherche fondamentale en mathématiques</w:t>
      </w:r>
      <w:r w:rsidR="00EC52A0" w:rsidRPr="00B80F80">
        <w:t xml:space="preserve">. </w:t>
      </w:r>
    </w:p>
    <w:p w:rsidR="007B2C73" w:rsidRDefault="007B2C73" w:rsidP="007B2C73">
      <w:pPr>
        <w:shd w:val="clear" w:color="auto" w:fill="FFFFFF"/>
        <w:spacing w:after="0"/>
        <w:ind w:left="1014"/>
        <w:jc w:val="both"/>
      </w:pPr>
    </w:p>
    <w:p w:rsidR="003D3233" w:rsidRDefault="003D3233" w:rsidP="007B2C73">
      <w:pPr>
        <w:numPr>
          <w:ilvl w:val="0"/>
          <w:numId w:val="6"/>
        </w:numPr>
        <w:shd w:val="clear" w:color="auto" w:fill="FFFFFF"/>
        <w:spacing w:after="0"/>
        <w:jc w:val="both"/>
      </w:pPr>
      <w:r w:rsidRPr="00C96D9F">
        <w:t xml:space="preserve">La première année soutenue doit être la première année de </w:t>
      </w:r>
      <w:r w:rsidR="00BC2EF6">
        <w:t>doctorat</w:t>
      </w:r>
      <w:r w:rsidRPr="00C96D9F">
        <w:t>.</w:t>
      </w:r>
    </w:p>
    <w:p w:rsidR="007B2C73" w:rsidRPr="00C96D9F" w:rsidRDefault="007B2C73" w:rsidP="00E87CA2">
      <w:pPr>
        <w:shd w:val="clear" w:color="auto" w:fill="FFFFFF"/>
        <w:spacing w:after="0"/>
        <w:ind w:left="-66"/>
        <w:jc w:val="both"/>
      </w:pPr>
    </w:p>
    <w:p w:rsidR="00BC2EF6" w:rsidRPr="007B2C73" w:rsidRDefault="00EC52A0" w:rsidP="007B2C73">
      <w:pPr>
        <w:numPr>
          <w:ilvl w:val="0"/>
          <w:numId w:val="6"/>
        </w:numPr>
        <w:shd w:val="clear" w:color="auto" w:fill="FFFFFF"/>
        <w:spacing w:after="0"/>
        <w:jc w:val="both"/>
      </w:pPr>
      <w:r w:rsidRPr="00CE4A3A">
        <w:t xml:space="preserve">Les doctorants retenus devront obligatoirement participer </w:t>
      </w:r>
      <w:r w:rsidR="00BC2EF6" w:rsidRPr="00CE4A3A">
        <w:t xml:space="preserve">de participer aux </w:t>
      </w:r>
      <w:r w:rsidR="00BC2EF6" w:rsidRPr="00CE4A3A">
        <w:rPr>
          <w:b/>
        </w:rPr>
        <w:t>« </w:t>
      </w:r>
      <w:proofErr w:type="spellStart"/>
      <w:r w:rsidR="00BC2EF6" w:rsidRPr="00CE4A3A">
        <w:rPr>
          <w:b/>
        </w:rPr>
        <w:t>doctoriales</w:t>
      </w:r>
      <w:proofErr w:type="spellEnd"/>
      <w:r w:rsidR="00BC2EF6" w:rsidRPr="00CE4A3A">
        <w:rPr>
          <w:b/>
        </w:rPr>
        <w:t> » ou</w:t>
      </w:r>
      <w:r w:rsidR="00E87CA2">
        <w:rPr>
          <w:b/>
        </w:rPr>
        <w:t xml:space="preserve"> à</w:t>
      </w:r>
      <w:r w:rsidR="00BC2EF6" w:rsidRPr="00CE4A3A">
        <w:rPr>
          <w:b/>
        </w:rPr>
        <w:t xml:space="preserve"> toute autre formation </w:t>
      </w:r>
      <w:proofErr w:type="spellStart"/>
      <w:r w:rsidR="00BC2EF6" w:rsidRPr="00CE4A3A">
        <w:rPr>
          <w:b/>
        </w:rPr>
        <w:t>professionnalisante</w:t>
      </w:r>
      <w:proofErr w:type="spellEnd"/>
      <w:r w:rsidR="00BC2EF6" w:rsidRPr="00CE4A3A">
        <w:rPr>
          <w:b/>
        </w:rPr>
        <w:t xml:space="preserve"> </w:t>
      </w:r>
      <w:r w:rsidR="00CE4A3A" w:rsidRPr="00CE4A3A">
        <w:rPr>
          <w:b/>
        </w:rPr>
        <w:t>validée</w:t>
      </w:r>
      <w:r w:rsidR="00E87CA2">
        <w:rPr>
          <w:b/>
        </w:rPr>
        <w:t>.</w:t>
      </w:r>
    </w:p>
    <w:p w:rsidR="007B2C73" w:rsidRPr="007B2C73" w:rsidRDefault="007B2C73" w:rsidP="007B2C73">
      <w:pPr>
        <w:shd w:val="clear" w:color="auto" w:fill="FFFFFF"/>
        <w:spacing w:after="0"/>
        <w:ind w:left="294"/>
        <w:jc w:val="both"/>
      </w:pPr>
    </w:p>
    <w:p w:rsidR="00CE4A3A" w:rsidRPr="00CE4A3A" w:rsidRDefault="00CE4A3A" w:rsidP="00D34557">
      <w:pPr>
        <w:shd w:val="clear" w:color="auto" w:fill="365F91"/>
        <w:spacing w:after="0"/>
        <w:ind w:left="-426"/>
        <w:jc w:val="both"/>
        <w:rPr>
          <w:b/>
          <w:color w:val="FFFFFF"/>
          <w:sz w:val="26"/>
          <w:szCs w:val="26"/>
        </w:rPr>
      </w:pPr>
      <w:r w:rsidRPr="00CE4A3A">
        <w:rPr>
          <w:b/>
          <w:color w:val="FFFFFF"/>
          <w:sz w:val="26"/>
          <w:szCs w:val="26"/>
        </w:rPr>
        <w:t xml:space="preserve">Quelles sont les </w:t>
      </w:r>
      <w:r>
        <w:rPr>
          <w:b/>
          <w:color w:val="FFFFFF"/>
          <w:sz w:val="26"/>
          <w:szCs w:val="26"/>
        </w:rPr>
        <w:t xml:space="preserve">pièces constitutives du dossier de demande </w:t>
      </w:r>
      <w:r w:rsidRPr="00CE4A3A">
        <w:rPr>
          <w:b/>
          <w:color w:val="FFFFFF"/>
          <w:sz w:val="26"/>
          <w:szCs w:val="26"/>
        </w:rPr>
        <w:t>?</w:t>
      </w:r>
    </w:p>
    <w:p w:rsidR="007B2C73" w:rsidRDefault="007B2C73" w:rsidP="007B2C73">
      <w:pPr>
        <w:shd w:val="clear" w:color="auto" w:fill="FFFFFF"/>
        <w:spacing w:after="0"/>
        <w:ind w:left="294"/>
        <w:jc w:val="both"/>
      </w:pPr>
    </w:p>
    <w:p w:rsidR="00966D06" w:rsidRDefault="00CE4A3A" w:rsidP="007B2C73">
      <w:pPr>
        <w:numPr>
          <w:ilvl w:val="0"/>
          <w:numId w:val="6"/>
        </w:numPr>
        <w:shd w:val="clear" w:color="auto" w:fill="FFFFFF"/>
        <w:spacing w:after="0"/>
        <w:jc w:val="both"/>
      </w:pPr>
      <w:r w:rsidRPr="00CE4A3A">
        <w:t xml:space="preserve">Le formulaire type de demande </w:t>
      </w:r>
      <w:r w:rsidR="006C0646">
        <w:t>complété.</w:t>
      </w:r>
    </w:p>
    <w:p w:rsidR="00B73002" w:rsidRDefault="00B73002" w:rsidP="00B73002">
      <w:pPr>
        <w:shd w:val="clear" w:color="auto" w:fill="FFFFFF"/>
        <w:spacing w:after="0"/>
        <w:ind w:left="294"/>
        <w:jc w:val="both"/>
      </w:pPr>
    </w:p>
    <w:p w:rsidR="00966D06" w:rsidRDefault="00CE4A3A" w:rsidP="007B2C73">
      <w:pPr>
        <w:numPr>
          <w:ilvl w:val="1"/>
          <w:numId w:val="6"/>
        </w:numPr>
        <w:shd w:val="clear" w:color="auto" w:fill="FFFFFF"/>
        <w:spacing w:after="0"/>
        <w:jc w:val="both"/>
      </w:pPr>
      <w:r>
        <w:t xml:space="preserve">Le formulaire </w:t>
      </w:r>
      <w:r w:rsidR="00966D06">
        <w:t xml:space="preserve">comprend </w:t>
      </w:r>
      <w:r w:rsidR="00A6601E">
        <w:t>5</w:t>
      </w:r>
      <w:r w:rsidR="00966D06">
        <w:t xml:space="preserve"> rubriques</w:t>
      </w:r>
      <w:r w:rsidR="006C0D99">
        <w:t xml:space="preserve"> relatives</w:t>
      </w:r>
      <w:r w:rsidR="00A6601E">
        <w:t> :</w:t>
      </w:r>
    </w:p>
    <w:p w:rsidR="00966D06" w:rsidRDefault="006C0D99" w:rsidP="007B2C73">
      <w:pPr>
        <w:numPr>
          <w:ilvl w:val="2"/>
          <w:numId w:val="6"/>
        </w:numPr>
        <w:shd w:val="clear" w:color="auto" w:fill="FFFFFF"/>
        <w:spacing w:after="0"/>
        <w:jc w:val="both"/>
      </w:pPr>
      <w:r>
        <w:t xml:space="preserve">à </w:t>
      </w:r>
      <w:r w:rsidR="00A6601E">
        <w:t xml:space="preserve">la présentation de </w:t>
      </w:r>
      <w:r w:rsidR="00966D06">
        <w:t>l’équipe d’accueil</w:t>
      </w:r>
    </w:p>
    <w:p w:rsidR="00966D06" w:rsidRDefault="006C0D99" w:rsidP="007B2C73">
      <w:pPr>
        <w:numPr>
          <w:ilvl w:val="2"/>
          <w:numId w:val="6"/>
        </w:numPr>
        <w:shd w:val="clear" w:color="auto" w:fill="FFFFFF"/>
        <w:spacing w:after="0"/>
        <w:jc w:val="both"/>
      </w:pPr>
      <w:r>
        <w:t>à la</w:t>
      </w:r>
      <w:r w:rsidR="00966D06">
        <w:t xml:space="preserve"> présentation du projet</w:t>
      </w:r>
    </w:p>
    <w:p w:rsidR="00966D06" w:rsidRDefault="006C0D99" w:rsidP="007B2C73">
      <w:pPr>
        <w:numPr>
          <w:ilvl w:val="2"/>
          <w:numId w:val="6"/>
        </w:numPr>
        <w:shd w:val="clear" w:color="auto" w:fill="FFFFFF"/>
        <w:spacing w:after="0"/>
        <w:jc w:val="both"/>
      </w:pPr>
      <w:r>
        <w:t>aux modalités d’</w:t>
      </w:r>
      <w:r w:rsidR="00966D06">
        <w:t>encadrement du projet</w:t>
      </w:r>
    </w:p>
    <w:p w:rsidR="00966D06" w:rsidRDefault="006C0D99" w:rsidP="007B2C73">
      <w:pPr>
        <w:numPr>
          <w:ilvl w:val="2"/>
          <w:numId w:val="6"/>
        </w:numPr>
        <w:shd w:val="clear" w:color="auto" w:fill="FFFFFF"/>
        <w:spacing w:after="0"/>
        <w:jc w:val="both"/>
      </w:pPr>
      <w:r>
        <w:t xml:space="preserve">aux </w:t>
      </w:r>
      <w:r w:rsidR="00966D06">
        <w:t>modalités financières</w:t>
      </w:r>
    </w:p>
    <w:p w:rsidR="00A6601E" w:rsidRDefault="006C0D99" w:rsidP="007B2C73">
      <w:pPr>
        <w:numPr>
          <w:ilvl w:val="2"/>
          <w:numId w:val="6"/>
        </w:numPr>
        <w:shd w:val="clear" w:color="auto" w:fill="FFFFFF"/>
        <w:spacing w:after="0"/>
        <w:jc w:val="both"/>
      </w:pPr>
      <w:r>
        <w:t>aux</w:t>
      </w:r>
      <w:r w:rsidR="00A6601E">
        <w:t xml:space="preserve"> avis et </w:t>
      </w:r>
      <w:r>
        <w:t xml:space="preserve">à la </w:t>
      </w:r>
      <w:r w:rsidR="00A6601E">
        <w:t>notation proposée</w:t>
      </w:r>
    </w:p>
    <w:p w:rsidR="007B2C73" w:rsidRDefault="007B2C73" w:rsidP="007B2C73">
      <w:pPr>
        <w:spacing w:after="0"/>
        <w:jc w:val="both"/>
        <w:rPr>
          <w:b/>
        </w:rPr>
      </w:pPr>
    </w:p>
    <w:p w:rsidR="00EC52A0" w:rsidRDefault="00A6601E" w:rsidP="007B2C73">
      <w:pPr>
        <w:spacing w:after="0"/>
        <w:jc w:val="both"/>
        <w:rPr>
          <w:b/>
        </w:rPr>
      </w:pPr>
      <w:r w:rsidRPr="007B2C73">
        <w:rPr>
          <w:b/>
          <w:color w:val="FF0000"/>
        </w:rPr>
        <w:t>ATTENTION :</w:t>
      </w:r>
      <w:r>
        <w:rPr>
          <w:b/>
        </w:rPr>
        <w:t xml:space="preserve"> aucune annexe relative à la description du projet ou aux avis ne doit être transmise. L’ensemble des informations doi</w:t>
      </w:r>
      <w:r w:rsidR="007B2C73">
        <w:rPr>
          <w:b/>
        </w:rPr>
        <w:t>t</w:t>
      </w:r>
      <w:r>
        <w:rPr>
          <w:b/>
        </w:rPr>
        <w:t xml:space="preserve"> être complété dans le formulaire.</w:t>
      </w:r>
    </w:p>
    <w:p w:rsidR="007B2C73" w:rsidRDefault="007B2C73" w:rsidP="007B2C73">
      <w:pPr>
        <w:spacing w:after="0"/>
        <w:jc w:val="both"/>
        <w:rPr>
          <w:b/>
        </w:rPr>
      </w:pPr>
    </w:p>
    <w:p w:rsidR="00EC52A0" w:rsidRPr="007B2C73" w:rsidRDefault="00A6601E" w:rsidP="007B2C73">
      <w:pPr>
        <w:numPr>
          <w:ilvl w:val="0"/>
          <w:numId w:val="6"/>
        </w:numPr>
        <w:shd w:val="clear" w:color="auto" w:fill="FFFFFF"/>
        <w:spacing w:after="0"/>
        <w:jc w:val="both"/>
      </w:pPr>
      <w:r w:rsidRPr="007B2C73">
        <w:t>Des annexes</w:t>
      </w:r>
      <w:r w:rsidR="00BE196F" w:rsidRPr="007B2C73">
        <w:t xml:space="preserve"> spécifiques</w:t>
      </w:r>
      <w:r w:rsidRPr="007B2C73">
        <w:t> :</w:t>
      </w:r>
    </w:p>
    <w:p w:rsidR="00A6601E" w:rsidRPr="007B2C73" w:rsidRDefault="00A6601E" w:rsidP="007B2C73">
      <w:pPr>
        <w:numPr>
          <w:ilvl w:val="1"/>
          <w:numId w:val="6"/>
        </w:numPr>
        <w:shd w:val="clear" w:color="auto" w:fill="FFFFFF"/>
        <w:spacing w:after="0"/>
        <w:jc w:val="both"/>
      </w:pPr>
      <w:r w:rsidRPr="007B2C73">
        <w:t xml:space="preserve">Le CV du directeur de </w:t>
      </w:r>
      <w:r w:rsidR="00343A21" w:rsidRPr="007B2C73">
        <w:t>projet doctoral</w:t>
      </w:r>
      <w:r w:rsidR="00EE6DC3">
        <w:t> :</w:t>
      </w:r>
      <w:r w:rsidR="00BE196F" w:rsidRPr="007B2C73">
        <w:t xml:space="preserve"> à déposer avec le dossier de demande</w:t>
      </w:r>
    </w:p>
    <w:p w:rsidR="00343A21" w:rsidRDefault="00343A21" w:rsidP="007B2C73">
      <w:pPr>
        <w:numPr>
          <w:ilvl w:val="1"/>
          <w:numId w:val="6"/>
        </w:numPr>
        <w:shd w:val="clear" w:color="auto" w:fill="FFFFFF"/>
        <w:spacing w:after="0"/>
        <w:jc w:val="both"/>
      </w:pPr>
      <w:r w:rsidRPr="007B2C73">
        <w:t>Un engagement formel</w:t>
      </w:r>
      <w:r>
        <w:t xml:space="preserve"> </w:t>
      </w:r>
      <w:r w:rsidR="00BE196F">
        <w:t xml:space="preserve">de l’organisme </w:t>
      </w:r>
      <w:proofErr w:type="spellStart"/>
      <w:r w:rsidR="00BE196F">
        <w:t>cofinanceur</w:t>
      </w:r>
      <w:proofErr w:type="spellEnd"/>
      <w:r w:rsidR="00EE6DC3">
        <w:t> :</w:t>
      </w:r>
      <w:r w:rsidR="007B2C73">
        <w:t xml:space="preserve"> à</w:t>
      </w:r>
      <w:r w:rsidR="00BE196F">
        <w:t xml:space="preserve"> déposer avec le dossier </w:t>
      </w:r>
      <w:r>
        <w:t>de</w:t>
      </w:r>
      <w:r w:rsidRPr="00C96D9F">
        <w:t xml:space="preserve"> demande</w:t>
      </w:r>
      <w:r w:rsidR="007B2C73">
        <w:t xml:space="preserve"> ou ultérieurement mais au plus tard </w:t>
      </w:r>
      <w:r w:rsidR="007B2C73" w:rsidRPr="00401615">
        <w:rPr>
          <w:b/>
        </w:rPr>
        <w:t xml:space="preserve">avant le </w:t>
      </w:r>
      <w:r w:rsidRPr="00401615">
        <w:rPr>
          <w:b/>
        </w:rPr>
        <w:t>vote de la Commission Permanente</w:t>
      </w:r>
      <w:r w:rsidRPr="00C96D9F">
        <w:t xml:space="preserve"> du Conseil Régional</w:t>
      </w:r>
      <w:r>
        <w:t xml:space="preserve"> (cf. calendrier prévisionnel)</w:t>
      </w:r>
    </w:p>
    <w:p w:rsidR="00401615" w:rsidRPr="00B80F80" w:rsidRDefault="00401615" w:rsidP="007B2C73">
      <w:pPr>
        <w:numPr>
          <w:ilvl w:val="1"/>
          <w:numId w:val="6"/>
        </w:numPr>
        <w:shd w:val="clear" w:color="auto" w:fill="FFFFFF"/>
        <w:spacing w:after="0"/>
        <w:jc w:val="both"/>
      </w:pPr>
      <w:r w:rsidRPr="00401615">
        <w:t>Le CV du doctorant</w:t>
      </w:r>
      <w:r w:rsidR="006C0D99">
        <w:t> : à fournir au plus tard le 15 septembre</w:t>
      </w:r>
      <w:r w:rsidR="006C0D99" w:rsidRPr="00401615">
        <w:t xml:space="preserve"> </w:t>
      </w:r>
      <w:r w:rsidR="006C0D99">
        <w:t xml:space="preserve">2017 </w:t>
      </w:r>
      <w:r w:rsidRPr="00401615">
        <w:t xml:space="preserve">en vue de l’établissement des </w:t>
      </w:r>
      <w:r w:rsidR="006C0D99">
        <w:t>conventions</w:t>
      </w:r>
    </w:p>
    <w:p w:rsidR="00EC52A0" w:rsidRDefault="00EC52A0" w:rsidP="007B2C73">
      <w:pPr>
        <w:spacing w:after="0"/>
        <w:jc w:val="both"/>
        <w:rPr>
          <w:b/>
        </w:rPr>
      </w:pPr>
    </w:p>
    <w:p w:rsidR="007B2C73" w:rsidRPr="00476A1C" w:rsidRDefault="007B2C73" w:rsidP="007B2C73">
      <w:pPr>
        <w:spacing w:after="0"/>
        <w:jc w:val="both"/>
        <w:rPr>
          <w:b/>
        </w:rPr>
      </w:pPr>
    </w:p>
    <w:p w:rsidR="00EC52A0" w:rsidRPr="002A4C01" w:rsidRDefault="00EC52A0" w:rsidP="007B2C73">
      <w:pPr>
        <w:shd w:val="clear" w:color="auto" w:fill="365F91"/>
        <w:spacing w:after="0"/>
        <w:ind w:left="-426"/>
        <w:jc w:val="both"/>
        <w:rPr>
          <w:b/>
          <w:color w:val="FFFFFF"/>
          <w:sz w:val="26"/>
          <w:szCs w:val="26"/>
        </w:rPr>
      </w:pPr>
      <w:r w:rsidRPr="00476A1C">
        <w:rPr>
          <w:b/>
          <w:color w:val="FFFFFF"/>
          <w:sz w:val="26"/>
          <w:szCs w:val="26"/>
        </w:rPr>
        <w:t>Comment sont évaluées et sélectionnées les demandes ?</w:t>
      </w:r>
    </w:p>
    <w:p w:rsidR="007B2C73" w:rsidRDefault="007B2C73" w:rsidP="007B2C73">
      <w:pPr>
        <w:spacing w:after="0"/>
        <w:ind w:left="-426"/>
        <w:jc w:val="both"/>
      </w:pPr>
    </w:p>
    <w:p w:rsidR="00D65C73" w:rsidRPr="00D65C73" w:rsidRDefault="00EC52A0" w:rsidP="00D65C73">
      <w:pPr>
        <w:spacing w:after="0"/>
        <w:ind w:left="-426"/>
        <w:jc w:val="both"/>
      </w:pPr>
      <w:r>
        <w:t xml:space="preserve">L’appel à candidatures est </w:t>
      </w:r>
      <w:r w:rsidR="00E77E66">
        <w:t>diffusé</w:t>
      </w:r>
      <w:r>
        <w:t xml:space="preserve"> </w:t>
      </w:r>
      <w:r w:rsidR="007B2C73">
        <w:t xml:space="preserve">principalement </w:t>
      </w:r>
      <w:r>
        <w:t>auprès de</w:t>
      </w:r>
      <w:r w:rsidR="007B2C73">
        <w:t xml:space="preserve">s Universités et EPST. </w:t>
      </w:r>
      <w:r w:rsidR="00D65C73" w:rsidRPr="00D65C73">
        <w:t>Sont également directement informés de cet appel à candidature d’autres structures susceptibles, en lien avec une unité de recherche, de</w:t>
      </w:r>
      <w:r w:rsidR="00260CBE">
        <w:t xml:space="preserve"> proposer des sujets doctoraux.</w:t>
      </w:r>
    </w:p>
    <w:p w:rsidR="007B2C73" w:rsidRDefault="007B2C73" w:rsidP="007B2C73">
      <w:pPr>
        <w:spacing w:after="0"/>
        <w:ind w:left="-426"/>
        <w:jc w:val="both"/>
      </w:pPr>
    </w:p>
    <w:p w:rsidR="007B2C73" w:rsidRDefault="007B2C73" w:rsidP="00260CBE">
      <w:pPr>
        <w:spacing w:after="0"/>
        <w:ind w:left="-426"/>
        <w:jc w:val="both"/>
      </w:pPr>
      <w:r w:rsidRPr="00D65C73">
        <w:t xml:space="preserve">Cet appel à candidatures est </w:t>
      </w:r>
      <w:r w:rsidR="00E77E66">
        <w:t>relayé</w:t>
      </w:r>
      <w:r w:rsidRPr="00D65C73">
        <w:t xml:space="preserve"> </w:t>
      </w:r>
      <w:r w:rsidRPr="00126F5D">
        <w:t xml:space="preserve">aux unités de recherche via, sauf exception, les écoles doctorales </w:t>
      </w:r>
      <w:r w:rsidR="00D65C73">
        <w:t>(ED)</w:t>
      </w:r>
      <w:r w:rsidR="00260CBE">
        <w:t>.</w:t>
      </w:r>
    </w:p>
    <w:p w:rsidR="00260CBE" w:rsidRPr="00260CBE" w:rsidRDefault="00260CBE" w:rsidP="00260CBE">
      <w:pPr>
        <w:spacing w:after="0"/>
        <w:ind w:left="-426"/>
        <w:jc w:val="both"/>
      </w:pPr>
    </w:p>
    <w:p w:rsidR="00D65C73" w:rsidRDefault="00D65C73" w:rsidP="00D65C73">
      <w:pPr>
        <w:spacing w:after="0"/>
        <w:ind w:left="-426"/>
        <w:jc w:val="both"/>
      </w:pPr>
      <w:r>
        <w:t xml:space="preserve">Le dispositif repose sur un processus de sélection </w:t>
      </w:r>
      <w:r w:rsidRPr="005B5E53">
        <w:t>à 3 niveaux</w:t>
      </w:r>
      <w:r w:rsidR="00260CBE">
        <w:t> :</w:t>
      </w:r>
    </w:p>
    <w:p w:rsidR="00D65C73" w:rsidRPr="005B5E53" w:rsidRDefault="00D65C73" w:rsidP="00D65C73">
      <w:pPr>
        <w:spacing w:after="0"/>
        <w:ind w:left="-426"/>
        <w:jc w:val="both"/>
      </w:pPr>
    </w:p>
    <w:p w:rsidR="00D65C73" w:rsidRDefault="00D65C73" w:rsidP="00D65C73">
      <w:pPr>
        <w:numPr>
          <w:ilvl w:val="1"/>
          <w:numId w:val="6"/>
        </w:numPr>
        <w:shd w:val="clear" w:color="auto" w:fill="FFFFFF"/>
        <w:spacing w:after="0"/>
        <w:jc w:val="both"/>
      </w:pPr>
      <w:r w:rsidRPr="00B73002">
        <w:rPr>
          <w:b/>
        </w:rPr>
        <w:t>une présélection des dossiers proposés par les unités de recherche</w:t>
      </w:r>
      <w:r>
        <w:t xml:space="preserve"> </w:t>
      </w:r>
    </w:p>
    <w:p w:rsidR="00D65C73" w:rsidRDefault="00D65C73" w:rsidP="00D65C73">
      <w:pPr>
        <w:shd w:val="clear" w:color="auto" w:fill="FFFFFF"/>
        <w:spacing w:after="0"/>
        <w:jc w:val="both"/>
      </w:pPr>
    </w:p>
    <w:p w:rsidR="00D65C73" w:rsidRDefault="00F13A64" w:rsidP="00D65C73">
      <w:pPr>
        <w:numPr>
          <w:ilvl w:val="2"/>
          <w:numId w:val="6"/>
        </w:numPr>
        <w:shd w:val="clear" w:color="auto" w:fill="FFFFFF"/>
        <w:spacing w:after="0"/>
        <w:jc w:val="both"/>
        <w:rPr>
          <w:b/>
        </w:rPr>
      </w:pPr>
      <w:r>
        <w:t>c</w:t>
      </w:r>
      <w:r w:rsidR="00D65C73" w:rsidRPr="00D65C73">
        <w:t xml:space="preserve">haque dossier déposé </w:t>
      </w:r>
      <w:r w:rsidR="00D65C73" w:rsidRPr="00E77E66">
        <w:t>c</w:t>
      </w:r>
      <w:r w:rsidR="00D65C73" w:rsidRPr="00E77E66">
        <w:rPr>
          <w:b/>
        </w:rPr>
        <w:t>omporte un avis littéral formulé par le directeur de l’équipe de recherche</w:t>
      </w:r>
      <w:r w:rsidR="00E77E66" w:rsidRPr="00E77E66">
        <w:rPr>
          <w:b/>
        </w:rPr>
        <w:t xml:space="preserve"> d’accueil</w:t>
      </w:r>
      <w:r w:rsidR="00D65C73" w:rsidRPr="00E77E66">
        <w:rPr>
          <w:b/>
        </w:rPr>
        <w:t xml:space="preserve"> </w:t>
      </w:r>
      <w:r w:rsidRPr="00E77E66">
        <w:rPr>
          <w:b/>
        </w:rPr>
        <w:t xml:space="preserve">(le cas échéant) </w:t>
      </w:r>
      <w:r w:rsidR="00D65C73" w:rsidRPr="00E77E66">
        <w:rPr>
          <w:b/>
        </w:rPr>
        <w:t>et de l’unité de recherche d’accueil.</w:t>
      </w:r>
      <w:r w:rsidR="00D65C73" w:rsidRPr="00D65C73">
        <w:t xml:space="preserve"> </w:t>
      </w:r>
      <w:r w:rsidR="00760FD0">
        <w:t>L’ED complète ces avis d’une</w:t>
      </w:r>
      <w:r w:rsidR="00D65C73" w:rsidRPr="00E77E66">
        <w:rPr>
          <w:b/>
        </w:rPr>
        <w:t xml:space="preserve"> appréciation </w:t>
      </w:r>
      <w:r w:rsidR="00760FD0">
        <w:rPr>
          <w:b/>
        </w:rPr>
        <w:t>globale sur les différents aspects du projet de laquelle découle une</w:t>
      </w:r>
      <w:r w:rsidR="00D65C73" w:rsidRPr="00E77E66">
        <w:rPr>
          <w:b/>
        </w:rPr>
        <w:t xml:space="preserve"> notation</w:t>
      </w:r>
      <w:r w:rsidR="00760FD0">
        <w:rPr>
          <w:b/>
        </w:rPr>
        <w:t>.</w:t>
      </w:r>
      <w:r w:rsidR="00E77E66" w:rsidRPr="00E77E66">
        <w:t xml:space="preserve"> </w:t>
      </w:r>
      <w:r w:rsidR="00D80285" w:rsidRPr="00D80285">
        <w:rPr>
          <w:b/>
        </w:rPr>
        <w:t xml:space="preserve">S’agissant de l’intérêt </w:t>
      </w:r>
      <w:r w:rsidR="006B2979">
        <w:rPr>
          <w:b/>
        </w:rPr>
        <w:t xml:space="preserve">et </w:t>
      </w:r>
      <w:r w:rsidR="00D80285" w:rsidRPr="00D80285">
        <w:rPr>
          <w:b/>
        </w:rPr>
        <w:t>de la qualité scientifique du projet, cette appréciation est formulée à l’aune de la p</w:t>
      </w:r>
      <w:r w:rsidR="00D65C73" w:rsidRPr="00D80285">
        <w:rPr>
          <w:b/>
        </w:rPr>
        <w:t>olitique sc</w:t>
      </w:r>
      <w:r w:rsidR="005D7762" w:rsidRPr="00D80285">
        <w:rPr>
          <w:b/>
        </w:rPr>
        <w:t>ientifique de</w:t>
      </w:r>
      <w:r w:rsidR="00D80285" w:rsidRPr="00D80285">
        <w:rPr>
          <w:b/>
        </w:rPr>
        <w:t xml:space="preserve"> l’établissement</w:t>
      </w:r>
      <w:r w:rsidR="005D7762" w:rsidRPr="00D80285">
        <w:rPr>
          <w:b/>
        </w:rPr>
        <w:t>.</w:t>
      </w:r>
    </w:p>
    <w:p w:rsidR="00D80285" w:rsidRPr="00D80285" w:rsidRDefault="00D80285" w:rsidP="00D80285">
      <w:pPr>
        <w:shd w:val="clear" w:color="auto" w:fill="FFFFFF"/>
        <w:spacing w:after="0"/>
        <w:ind w:left="1734"/>
        <w:jc w:val="both"/>
        <w:rPr>
          <w:b/>
        </w:rPr>
      </w:pPr>
    </w:p>
    <w:p w:rsidR="00F13A64" w:rsidRDefault="00D80285" w:rsidP="00F13A64">
      <w:pPr>
        <w:numPr>
          <w:ilvl w:val="2"/>
          <w:numId w:val="6"/>
        </w:numPr>
        <w:shd w:val="clear" w:color="auto" w:fill="FFFFFF"/>
        <w:spacing w:after="0"/>
        <w:jc w:val="both"/>
      </w:pPr>
      <w:r w:rsidRPr="00D80285">
        <w:rPr>
          <w:b/>
        </w:rPr>
        <w:t>Les projets déposés</w:t>
      </w:r>
      <w:r>
        <w:t xml:space="preserve"> seront notés</w:t>
      </w:r>
      <w:r w:rsidR="00F13A64">
        <w:t xml:space="preserve"> soit :</w:t>
      </w:r>
    </w:p>
    <w:p w:rsidR="00F13A64" w:rsidRPr="00F13A64" w:rsidRDefault="00F13A64" w:rsidP="00F13A64">
      <w:pPr>
        <w:numPr>
          <w:ilvl w:val="3"/>
          <w:numId w:val="6"/>
        </w:numPr>
        <w:shd w:val="clear" w:color="auto" w:fill="FFFFFF"/>
        <w:spacing w:after="0"/>
        <w:jc w:val="both"/>
      </w:pPr>
      <w:r>
        <w:t xml:space="preserve">A+ </w:t>
      </w:r>
      <w:r w:rsidRPr="00F13A64">
        <w:rPr>
          <w:rFonts w:cs="Calibri"/>
          <w:color w:val="000000"/>
        </w:rPr>
        <w:t>(Excellent dossier)</w:t>
      </w:r>
    </w:p>
    <w:p w:rsidR="00F13A64" w:rsidRPr="00F13A64" w:rsidRDefault="00F13A64" w:rsidP="00F13A64">
      <w:pPr>
        <w:numPr>
          <w:ilvl w:val="3"/>
          <w:numId w:val="6"/>
        </w:numPr>
        <w:shd w:val="clear" w:color="auto" w:fill="FFFFFF"/>
        <w:spacing w:after="0"/>
        <w:jc w:val="both"/>
      </w:pPr>
      <w:r w:rsidRPr="00F13A64">
        <w:t>A (Très bon dossier)</w:t>
      </w:r>
    </w:p>
    <w:p w:rsidR="00F13A64" w:rsidRDefault="00F13A64" w:rsidP="00F13A64">
      <w:pPr>
        <w:numPr>
          <w:ilvl w:val="3"/>
          <w:numId w:val="6"/>
        </w:numPr>
        <w:shd w:val="clear" w:color="auto" w:fill="FFFFFF"/>
        <w:spacing w:after="0"/>
        <w:jc w:val="both"/>
      </w:pPr>
      <w:r w:rsidRPr="00F13A64">
        <w:t>B (Bon dossier)</w:t>
      </w:r>
    </w:p>
    <w:p w:rsidR="00D80285" w:rsidRPr="00F13A64" w:rsidRDefault="00D80285" w:rsidP="00D80285">
      <w:pPr>
        <w:shd w:val="clear" w:color="auto" w:fill="FFFFFF"/>
        <w:spacing w:after="0"/>
        <w:ind w:left="2454"/>
        <w:jc w:val="both"/>
      </w:pPr>
    </w:p>
    <w:p w:rsidR="00F13A64" w:rsidRDefault="006F43F2" w:rsidP="00F13A64">
      <w:pPr>
        <w:numPr>
          <w:ilvl w:val="2"/>
          <w:numId w:val="6"/>
        </w:numPr>
        <w:shd w:val="clear" w:color="auto" w:fill="FFFFFF"/>
        <w:spacing w:after="0"/>
        <w:jc w:val="both"/>
      </w:pPr>
      <w:r w:rsidRPr="006F43F2">
        <w:rPr>
          <w:b/>
          <w:color w:val="FF0000"/>
        </w:rPr>
        <w:t>Attention</w:t>
      </w:r>
      <w:r w:rsidR="00D80285">
        <w:rPr>
          <w:b/>
          <w:color w:val="FF0000"/>
        </w:rPr>
        <w:t> :</w:t>
      </w:r>
      <w:r>
        <w:t xml:space="preserve"> </w:t>
      </w:r>
      <w:r w:rsidR="00D80285">
        <w:t>l</w:t>
      </w:r>
      <w:r w:rsidR="00F13A64">
        <w:t xml:space="preserve">es autres dossiers ne </w:t>
      </w:r>
      <w:r w:rsidR="00EE6DC3">
        <w:t>devront pas être</w:t>
      </w:r>
      <w:r w:rsidR="00F13A64">
        <w:t xml:space="preserve"> déposés. Les porteurs de projets dont les dossiers n’auront pas été déposés devront en être informés.</w:t>
      </w:r>
    </w:p>
    <w:p w:rsidR="00D65C73" w:rsidRPr="005B5E53" w:rsidRDefault="00D65C73" w:rsidP="00D65C73">
      <w:pPr>
        <w:shd w:val="clear" w:color="auto" w:fill="FFFFFF"/>
        <w:spacing w:after="0"/>
        <w:jc w:val="both"/>
      </w:pPr>
    </w:p>
    <w:p w:rsidR="006F43F2" w:rsidRPr="006F43F2" w:rsidRDefault="006F43F2" w:rsidP="006F43F2">
      <w:pPr>
        <w:numPr>
          <w:ilvl w:val="1"/>
          <w:numId w:val="6"/>
        </w:numPr>
        <w:shd w:val="clear" w:color="auto" w:fill="FFFFFF"/>
        <w:spacing w:after="0"/>
        <w:jc w:val="both"/>
      </w:pPr>
      <w:r w:rsidRPr="006F43F2">
        <w:rPr>
          <w:b/>
        </w:rPr>
        <w:t xml:space="preserve">une expertise de chaque dossier déposé dont l’organisation est confiée par la Région à un prestataire </w:t>
      </w:r>
      <w:r w:rsidRPr="006F43F2">
        <w:t>dans le cadre d’un marché de prestation de service; chaque demande fera l’objet d’une double évaluation formulée par des « experts » extérieurs au territoire du Grand Est</w:t>
      </w:r>
      <w:r w:rsidR="005D7762">
        <w:t>.</w:t>
      </w:r>
    </w:p>
    <w:p w:rsidR="00165A27" w:rsidRPr="005B5E53" w:rsidRDefault="00165A27" w:rsidP="00165A27">
      <w:pPr>
        <w:shd w:val="clear" w:color="auto" w:fill="FFFFFF"/>
        <w:spacing w:after="0"/>
        <w:ind w:left="1014"/>
        <w:jc w:val="both"/>
      </w:pPr>
    </w:p>
    <w:p w:rsidR="00D65C73" w:rsidRPr="005B5E53" w:rsidRDefault="00165A27" w:rsidP="00D65C73">
      <w:pPr>
        <w:numPr>
          <w:ilvl w:val="1"/>
          <w:numId w:val="6"/>
        </w:numPr>
        <w:shd w:val="clear" w:color="auto" w:fill="FFFFFF"/>
        <w:spacing w:after="0"/>
        <w:jc w:val="both"/>
      </w:pPr>
      <w:r>
        <w:t xml:space="preserve">le cas échéant, </w:t>
      </w:r>
      <w:r w:rsidR="00D65C73">
        <w:t>les</w:t>
      </w:r>
      <w:r w:rsidR="00D65C73" w:rsidRPr="005B5E53">
        <w:t xml:space="preserve"> </w:t>
      </w:r>
      <w:r w:rsidR="00C26B7B">
        <w:t>services de</w:t>
      </w:r>
      <w:r w:rsidR="00D65C73" w:rsidRPr="005B5E53">
        <w:t xml:space="preserve"> la Région </w:t>
      </w:r>
      <w:r w:rsidR="00C26B7B">
        <w:t xml:space="preserve">Grand Est </w:t>
      </w:r>
      <w:r w:rsidR="006F43F2">
        <w:t xml:space="preserve">seront sollicités pour avis </w:t>
      </w:r>
      <w:r w:rsidR="00C26B7B">
        <w:t>(</w:t>
      </w:r>
      <w:r w:rsidR="00D65C73" w:rsidRPr="005B5E53">
        <w:t>selon les sujets</w:t>
      </w:r>
      <w:r w:rsidR="00C26B7B">
        <w:t>)</w:t>
      </w:r>
      <w:r w:rsidR="005D7762">
        <w:t>.</w:t>
      </w:r>
    </w:p>
    <w:p w:rsidR="00EC52A0" w:rsidRDefault="00EC52A0" w:rsidP="007B2C73">
      <w:pPr>
        <w:spacing w:after="0"/>
        <w:ind w:left="1434"/>
        <w:jc w:val="both"/>
      </w:pPr>
    </w:p>
    <w:p w:rsidR="00EC52A0" w:rsidRDefault="00EC52A0" w:rsidP="007B2C73">
      <w:pPr>
        <w:spacing w:after="0"/>
        <w:ind w:hanging="16"/>
        <w:jc w:val="both"/>
      </w:pPr>
    </w:p>
    <w:p w:rsidR="00EC52A0" w:rsidRDefault="00EC52A0" w:rsidP="007B2C73">
      <w:pPr>
        <w:spacing w:after="0" w:line="240" w:lineRule="auto"/>
        <w:jc w:val="both"/>
      </w:pPr>
      <w:r>
        <w:t xml:space="preserve">A l’issue de ces étapes, </w:t>
      </w:r>
      <w:r w:rsidR="006F43F2">
        <w:t xml:space="preserve">une synthèse de </w:t>
      </w:r>
      <w:r w:rsidR="00C26B7B">
        <w:t>l’intégralité d</w:t>
      </w:r>
      <w:r>
        <w:t xml:space="preserve">es demandes </w:t>
      </w:r>
      <w:r w:rsidR="006F43F2">
        <w:t xml:space="preserve">déposées </w:t>
      </w:r>
      <w:r w:rsidR="00C26B7B">
        <w:t>accompagnées de tous les avis et notation</w:t>
      </w:r>
      <w:r w:rsidR="00AD21AA">
        <w:t>s</w:t>
      </w:r>
      <w:r w:rsidR="00C26B7B">
        <w:t xml:space="preserve"> est</w:t>
      </w:r>
      <w:r>
        <w:t xml:space="preserve"> soumise aux élus du Conseil Régional</w:t>
      </w:r>
      <w:r w:rsidR="006F43F2">
        <w:t xml:space="preserve"> qui arrêtent une liste principale et </w:t>
      </w:r>
      <w:r>
        <w:t xml:space="preserve">complémentaire compte tenu des critères </w:t>
      </w:r>
      <w:r w:rsidR="006F43F2">
        <w:t xml:space="preserve">principaux </w:t>
      </w:r>
      <w:r w:rsidR="005D7762">
        <w:t>suivants :</w:t>
      </w:r>
    </w:p>
    <w:p w:rsidR="00C26B7B" w:rsidRDefault="00C26B7B" w:rsidP="007B2C73">
      <w:pPr>
        <w:spacing w:after="0" w:line="240" w:lineRule="auto"/>
        <w:jc w:val="both"/>
      </w:pPr>
    </w:p>
    <w:p w:rsidR="00EC52A0" w:rsidRPr="00F76ABA" w:rsidRDefault="00EC52A0" w:rsidP="00F76ABA">
      <w:pPr>
        <w:numPr>
          <w:ilvl w:val="1"/>
          <w:numId w:val="6"/>
        </w:numPr>
        <w:shd w:val="clear" w:color="auto" w:fill="FFFFFF"/>
        <w:spacing w:after="0"/>
        <w:jc w:val="both"/>
      </w:pPr>
      <w:r w:rsidRPr="00F76ABA">
        <w:t>Caractère scientifique du projet (thématique innovante, coopération transfrontalière et/ou interrégionale, européenne, internationale…)</w:t>
      </w:r>
    </w:p>
    <w:p w:rsidR="00EC52A0" w:rsidRPr="00F76ABA" w:rsidRDefault="00EC52A0" w:rsidP="00F76ABA">
      <w:pPr>
        <w:numPr>
          <w:ilvl w:val="1"/>
          <w:numId w:val="6"/>
        </w:numPr>
        <w:shd w:val="clear" w:color="auto" w:fill="FFFFFF"/>
        <w:spacing w:after="0"/>
        <w:jc w:val="both"/>
      </w:pPr>
      <w:r w:rsidRPr="00F76ABA">
        <w:t>Intérêt régional (correspondance avec les politiques régionales, résolution d’une problématique locale, valorisation du patrimoine régional…)</w:t>
      </w:r>
    </w:p>
    <w:p w:rsidR="00EC52A0" w:rsidRPr="00F76ABA" w:rsidRDefault="00EC52A0" w:rsidP="00F76ABA">
      <w:pPr>
        <w:numPr>
          <w:ilvl w:val="1"/>
          <w:numId w:val="6"/>
        </w:numPr>
        <w:shd w:val="clear" w:color="auto" w:fill="FFFFFF"/>
        <w:spacing w:after="0"/>
        <w:jc w:val="both"/>
      </w:pPr>
      <w:r w:rsidRPr="00F76ABA">
        <w:t xml:space="preserve">Qualité de l’encadrement et implication du directeur du projet de recherche au regard de l’insertion professionnelle du doctorant (participation à des colloques, publications </w:t>
      </w:r>
      <w:r w:rsidR="00551E1E" w:rsidRPr="00F76ABA">
        <w:t>….)</w:t>
      </w:r>
    </w:p>
    <w:p w:rsidR="00EC52A0" w:rsidRPr="00F76ABA" w:rsidRDefault="005D7762" w:rsidP="00F76ABA">
      <w:pPr>
        <w:numPr>
          <w:ilvl w:val="1"/>
          <w:numId w:val="6"/>
        </w:numPr>
        <w:shd w:val="clear" w:color="auto" w:fill="FFFFFF"/>
        <w:spacing w:after="0"/>
        <w:jc w:val="both"/>
      </w:pPr>
      <w:r w:rsidRPr="00F76ABA">
        <w:t>Qualité de l’équipe d’accueil</w:t>
      </w:r>
    </w:p>
    <w:p w:rsidR="00EC52A0" w:rsidRPr="00F76ABA" w:rsidRDefault="00EC52A0" w:rsidP="00F76ABA">
      <w:pPr>
        <w:numPr>
          <w:ilvl w:val="1"/>
          <w:numId w:val="6"/>
        </w:numPr>
        <w:shd w:val="clear" w:color="auto" w:fill="FFFFFF"/>
        <w:spacing w:after="0"/>
        <w:jc w:val="both"/>
      </w:pPr>
      <w:r w:rsidRPr="00F76ABA">
        <w:t>Contribution financière d’un organisme partenaire</w:t>
      </w:r>
    </w:p>
    <w:p w:rsidR="00EC52A0" w:rsidRPr="00F76ABA" w:rsidRDefault="00EC52A0" w:rsidP="00F76ABA">
      <w:pPr>
        <w:numPr>
          <w:ilvl w:val="1"/>
          <w:numId w:val="6"/>
        </w:numPr>
        <w:shd w:val="clear" w:color="auto" w:fill="FFFFFF"/>
        <w:spacing w:after="0"/>
        <w:jc w:val="both"/>
      </w:pPr>
      <w:r w:rsidRPr="00F76ABA">
        <w:t>Perspectives du projet (applications, nouveaux partenariats..</w:t>
      </w:r>
      <w:r>
        <w:t>.)</w:t>
      </w:r>
    </w:p>
    <w:p w:rsidR="00C26B7B" w:rsidRDefault="00C26B7B" w:rsidP="00C26B7B">
      <w:pPr>
        <w:spacing w:after="0" w:line="240" w:lineRule="auto"/>
        <w:ind w:left="426"/>
        <w:jc w:val="both"/>
        <w:rPr>
          <w:rFonts w:cs="Arial"/>
        </w:rPr>
      </w:pPr>
    </w:p>
    <w:p w:rsidR="00EC52A0" w:rsidRPr="00C449DF" w:rsidRDefault="00EC52A0" w:rsidP="007B2C73">
      <w:pPr>
        <w:spacing w:after="0" w:line="240" w:lineRule="auto"/>
        <w:ind w:left="-142" w:hanging="1"/>
        <w:jc w:val="both"/>
        <w:rPr>
          <w:rFonts w:cs="Arial"/>
        </w:rPr>
      </w:pPr>
      <w:r w:rsidRPr="00C449DF">
        <w:rPr>
          <w:rFonts w:cs="Arial"/>
        </w:rPr>
        <w:t>Les opportunités d’insertion dans le monde professionnel comme de créations de start-ups présenteront un atout supplémentaire.</w:t>
      </w:r>
    </w:p>
    <w:p w:rsidR="00C26B7B" w:rsidRDefault="00C26B7B" w:rsidP="007B2C73">
      <w:pPr>
        <w:spacing w:after="0" w:line="240" w:lineRule="auto"/>
        <w:jc w:val="both"/>
      </w:pPr>
    </w:p>
    <w:p w:rsidR="00084E3A" w:rsidRDefault="00084E3A" w:rsidP="007B2C73">
      <w:pPr>
        <w:spacing w:after="0" w:line="240" w:lineRule="auto"/>
        <w:jc w:val="both"/>
      </w:pPr>
    </w:p>
    <w:p w:rsidR="00EC52A0" w:rsidRDefault="00EC52A0" w:rsidP="007B2C73">
      <w:pPr>
        <w:shd w:val="clear" w:color="auto" w:fill="365F91"/>
        <w:spacing w:after="0"/>
        <w:ind w:left="-426"/>
        <w:jc w:val="both"/>
        <w:rPr>
          <w:b/>
          <w:color w:val="FFFFFF"/>
          <w:sz w:val="26"/>
          <w:szCs w:val="26"/>
        </w:rPr>
      </w:pPr>
      <w:r>
        <w:rPr>
          <w:b/>
          <w:color w:val="FFFFFF"/>
          <w:sz w:val="26"/>
          <w:szCs w:val="26"/>
        </w:rPr>
        <w:t>Quelles sont les règles de</w:t>
      </w:r>
      <w:r w:rsidRPr="0082374A">
        <w:rPr>
          <w:b/>
          <w:color w:val="FFFFFF"/>
          <w:sz w:val="26"/>
          <w:szCs w:val="26"/>
        </w:rPr>
        <w:t xml:space="preserve"> rémunération du doctorant</w:t>
      </w:r>
      <w:r>
        <w:rPr>
          <w:b/>
          <w:color w:val="FFFFFF"/>
          <w:sz w:val="26"/>
          <w:szCs w:val="26"/>
        </w:rPr>
        <w:t> ?</w:t>
      </w:r>
    </w:p>
    <w:p w:rsidR="00EC52A0" w:rsidRPr="0082374A" w:rsidRDefault="00EC52A0" w:rsidP="007B2C73">
      <w:pPr>
        <w:shd w:val="clear" w:color="auto" w:fill="365F91"/>
        <w:spacing w:after="0"/>
        <w:ind w:left="-426"/>
        <w:jc w:val="both"/>
        <w:rPr>
          <w:b/>
          <w:color w:val="FFFFFF"/>
          <w:sz w:val="6"/>
          <w:szCs w:val="6"/>
        </w:rPr>
      </w:pPr>
    </w:p>
    <w:p w:rsidR="00551E1E" w:rsidRDefault="00551E1E" w:rsidP="00551E1E">
      <w:pPr>
        <w:spacing w:after="0" w:line="240" w:lineRule="auto"/>
        <w:ind w:left="284"/>
        <w:jc w:val="both"/>
      </w:pPr>
    </w:p>
    <w:p w:rsidR="00EC52A0" w:rsidRDefault="00EC52A0" w:rsidP="006C0646">
      <w:pPr>
        <w:numPr>
          <w:ilvl w:val="0"/>
          <w:numId w:val="6"/>
        </w:numPr>
        <w:shd w:val="clear" w:color="auto" w:fill="FFFFFF"/>
        <w:spacing w:after="0"/>
        <w:jc w:val="both"/>
      </w:pPr>
      <w:r>
        <w:t xml:space="preserve">Le soutien est </w:t>
      </w:r>
      <w:r w:rsidRPr="005B521F">
        <w:rPr>
          <w:b/>
        </w:rPr>
        <w:t>versé à l’organisme gestionnaire du contrat de travail et non au doctorant.</w:t>
      </w:r>
    </w:p>
    <w:p w:rsidR="00EC52A0" w:rsidRDefault="00EC52A0" w:rsidP="005B521F">
      <w:pPr>
        <w:numPr>
          <w:ilvl w:val="0"/>
          <w:numId w:val="6"/>
        </w:numPr>
        <w:shd w:val="clear" w:color="auto" w:fill="FFFFFF"/>
        <w:spacing w:after="0"/>
        <w:jc w:val="both"/>
      </w:pPr>
      <w:r>
        <w:t xml:space="preserve">Le salaire annuel </w:t>
      </w:r>
      <w:r w:rsidR="00551E1E">
        <w:t xml:space="preserve">« chargé » </w:t>
      </w:r>
      <w:r w:rsidR="00EE6DC3">
        <w:t xml:space="preserve">du doctorant sur la base duquel est calculé la participation régionale </w:t>
      </w:r>
      <w:r>
        <w:t>diffère se</w:t>
      </w:r>
      <w:r w:rsidR="00551E1E">
        <w:t>lon l’or</w:t>
      </w:r>
      <w:r w:rsidR="00084E3A">
        <w:t>ganisme gestionnaire</w:t>
      </w:r>
      <w:r w:rsidR="005B521F">
        <w:t>.</w:t>
      </w:r>
    </w:p>
    <w:p w:rsidR="00EC52A0" w:rsidRDefault="00084E3A" w:rsidP="005B521F">
      <w:pPr>
        <w:numPr>
          <w:ilvl w:val="0"/>
          <w:numId w:val="6"/>
        </w:numPr>
        <w:shd w:val="clear" w:color="auto" w:fill="FFFFFF"/>
        <w:spacing w:after="0"/>
        <w:jc w:val="both"/>
      </w:pPr>
      <w:r>
        <w:t>Dans tous les cas, l</w:t>
      </w:r>
      <w:r w:rsidR="00EC52A0">
        <w:t>es frais de gestion des organismes de recherche ne sont pas pris en charge</w:t>
      </w:r>
      <w:r w:rsidR="005B521F">
        <w:t>.</w:t>
      </w:r>
    </w:p>
    <w:p w:rsidR="00EC52A0" w:rsidRPr="005B521F" w:rsidRDefault="00EC52A0" w:rsidP="005B521F">
      <w:pPr>
        <w:numPr>
          <w:ilvl w:val="0"/>
          <w:numId w:val="6"/>
        </w:numPr>
        <w:shd w:val="clear" w:color="auto" w:fill="FFFFFF"/>
        <w:spacing w:after="0"/>
        <w:jc w:val="both"/>
        <w:rPr>
          <w:b/>
        </w:rPr>
      </w:pPr>
      <w:r>
        <w:t xml:space="preserve">L’engagement de la Région porte sur une durée maximale de 3 ans et s’inscrit dans </w:t>
      </w:r>
      <w:r w:rsidRPr="005B521F">
        <w:rPr>
          <w:b/>
        </w:rPr>
        <w:t>les 3 premières années du projet doctoral uniquement.</w:t>
      </w:r>
    </w:p>
    <w:p w:rsidR="00551E1E" w:rsidRDefault="00551E1E" w:rsidP="005B521F">
      <w:pPr>
        <w:shd w:val="clear" w:color="auto" w:fill="FFFFFF"/>
        <w:spacing w:after="0"/>
        <w:ind w:left="294"/>
        <w:jc w:val="both"/>
      </w:pPr>
    </w:p>
    <w:p w:rsidR="00551E1E" w:rsidRDefault="00551E1E" w:rsidP="00551E1E">
      <w:pPr>
        <w:spacing w:after="0" w:line="240" w:lineRule="auto"/>
        <w:ind w:left="284"/>
        <w:jc w:val="both"/>
      </w:pPr>
    </w:p>
    <w:p w:rsidR="00EC52A0" w:rsidRPr="00F76ABA" w:rsidRDefault="00344807" w:rsidP="00F76ABA">
      <w:pPr>
        <w:shd w:val="clear" w:color="auto" w:fill="365F91"/>
        <w:tabs>
          <w:tab w:val="left" w:pos="567"/>
          <w:tab w:val="left" w:pos="709"/>
        </w:tabs>
        <w:spacing w:after="0"/>
        <w:ind w:left="-426"/>
        <w:jc w:val="both"/>
        <w:rPr>
          <w:color w:val="FFFFFF"/>
          <w:sz w:val="16"/>
          <w:szCs w:val="16"/>
        </w:rPr>
      </w:pPr>
      <w:r>
        <w:rPr>
          <w:b/>
          <w:color w:val="FFFFFF"/>
          <w:sz w:val="26"/>
          <w:szCs w:val="26"/>
        </w:rPr>
        <w:t>Quel est le calendrier prévisionnel ?</w:t>
      </w:r>
    </w:p>
    <w:p w:rsidR="00551E1E" w:rsidRDefault="00551E1E" w:rsidP="007B2C73">
      <w:pPr>
        <w:spacing w:after="0"/>
        <w:ind w:left="-426"/>
        <w:jc w:val="both"/>
      </w:pPr>
    </w:p>
    <w:p w:rsidR="00EC52A0" w:rsidRDefault="00EC52A0" w:rsidP="007B2C73">
      <w:pPr>
        <w:spacing w:after="0"/>
        <w:ind w:left="-426"/>
        <w:jc w:val="both"/>
      </w:pPr>
      <w:r>
        <w:t xml:space="preserve">La note de cadrage ainsi que le </w:t>
      </w:r>
      <w:r w:rsidR="00551E1E">
        <w:t>modèle de</w:t>
      </w:r>
      <w:r>
        <w:t xml:space="preserve"> dossier de demande de contrat doctoral sont </w:t>
      </w:r>
      <w:r w:rsidR="00344807">
        <w:t>disponibles</w:t>
      </w:r>
      <w:r w:rsidR="00551E1E">
        <w:t xml:space="preserve"> auprès des écoles doctorales.</w:t>
      </w:r>
    </w:p>
    <w:p w:rsidR="00551E1E" w:rsidRDefault="00551E1E" w:rsidP="007B2C73">
      <w:pPr>
        <w:spacing w:after="0"/>
        <w:ind w:left="-426"/>
      </w:pPr>
    </w:p>
    <w:p w:rsidR="00962203" w:rsidRDefault="00962203" w:rsidP="007B2C73">
      <w:pPr>
        <w:spacing w:after="0"/>
        <w:ind w:left="-426"/>
      </w:pPr>
    </w:p>
    <w:p w:rsidR="00962203" w:rsidRDefault="00962203" w:rsidP="007B2C73">
      <w:pPr>
        <w:spacing w:after="0"/>
        <w:ind w:left="-426"/>
      </w:pPr>
    </w:p>
    <w:p w:rsidR="00962203" w:rsidRDefault="00962203" w:rsidP="007B2C73">
      <w:pPr>
        <w:spacing w:after="0"/>
        <w:ind w:left="-426"/>
      </w:pPr>
    </w:p>
    <w:p w:rsidR="00962203" w:rsidRDefault="00962203" w:rsidP="007B2C73">
      <w:pPr>
        <w:spacing w:after="0"/>
        <w:ind w:left="-426"/>
      </w:pPr>
    </w:p>
    <w:p w:rsidR="00962203" w:rsidRDefault="00962203" w:rsidP="007B2C73">
      <w:pPr>
        <w:spacing w:after="0"/>
        <w:ind w:left="-426"/>
      </w:pPr>
    </w:p>
    <w:p w:rsidR="00962203" w:rsidRDefault="00962203" w:rsidP="007B2C73">
      <w:pPr>
        <w:spacing w:after="0"/>
        <w:ind w:left="-426"/>
      </w:pPr>
    </w:p>
    <w:p w:rsidR="00962203" w:rsidRDefault="00962203" w:rsidP="007B2C73">
      <w:pPr>
        <w:spacing w:after="0"/>
        <w:ind w:left="-426"/>
      </w:pPr>
    </w:p>
    <w:p w:rsidR="00962203" w:rsidRDefault="00962203" w:rsidP="007B2C73">
      <w:pPr>
        <w:spacing w:after="0"/>
        <w:ind w:left="-426"/>
      </w:pPr>
    </w:p>
    <w:p w:rsidR="00962203" w:rsidRDefault="00962203" w:rsidP="007B2C73">
      <w:pPr>
        <w:spacing w:after="0"/>
        <w:ind w:left="-426"/>
      </w:pPr>
    </w:p>
    <w:p w:rsidR="00962203" w:rsidRDefault="00962203" w:rsidP="007B2C73">
      <w:pPr>
        <w:spacing w:after="0"/>
        <w:ind w:left="-426"/>
      </w:pPr>
    </w:p>
    <w:p w:rsidR="00962203" w:rsidRDefault="00962203" w:rsidP="007B2C73">
      <w:pPr>
        <w:spacing w:after="0"/>
        <w:ind w:left="-426"/>
      </w:pPr>
    </w:p>
    <w:p w:rsidR="00962203" w:rsidRDefault="00962203" w:rsidP="007B2C73">
      <w:pPr>
        <w:spacing w:after="0"/>
        <w:ind w:left="-426"/>
      </w:pPr>
    </w:p>
    <w:p w:rsidR="00EC52A0" w:rsidRDefault="00EC52A0" w:rsidP="007B2C73">
      <w:pPr>
        <w:spacing w:after="0"/>
        <w:ind w:left="-426"/>
      </w:pPr>
      <w:r>
        <w:t xml:space="preserve">Le calendrier </w:t>
      </w:r>
      <w:r w:rsidR="008E266D">
        <w:t xml:space="preserve">prévisionnel </w:t>
      </w:r>
      <w:r w:rsidRPr="00551E1E">
        <w:rPr>
          <w:b/>
        </w:rPr>
        <w:t>201</w:t>
      </w:r>
      <w:r w:rsidR="00C96D9F" w:rsidRPr="00551E1E">
        <w:rPr>
          <w:b/>
        </w:rPr>
        <w:t>7</w:t>
      </w:r>
      <w:r w:rsidRPr="00551E1E">
        <w:rPr>
          <w:b/>
        </w:rPr>
        <w:t xml:space="preserve"> est le suivant</w:t>
      </w:r>
      <w:r>
        <w:t> :</w:t>
      </w:r>
    </w:p>
    <w:p w:rsidR="00EC52A0" w:rsidRDefault="00EC52A0" w:rsidP="007B2C73">
      <w:pPr>
        <w:spacing w:after="0"/>
      </w:pPr>
    </w:p>
    <w:tbl>
      <w:tblPr>
        <w:tblStyle w:val="Grilledutableau"/>
        <w:tblW w:w="0" w:type="auto"/>
        <w:tblLook w:val="04A0" w:firstRow="1" w:lastRow="0" w:firstColumn="1" w:lastColumn="0" w:noHBand="0" w:noVBand="1"/>
      </w:tblPr>
      <w:tblGrid>
        <w:gridCol w:w="4814"/>
        <w:gridCol w:w="4814"/>
      </w:tblGrid>
      <w:tr w:rsidR="00551E1E" w:rsidRPr="00551E1E" w:rsidTr="006C0646">
        <w:tc>
          <w:tcPr>
            <w:tcW w:w="4814" w:type="dxa"/>
          </w:tcPr>
          <w:p w:rsidR="00551E1E" w:rsidRPr="001463F1" w:rsidRDefault="00551E1E" w:rsidP="007E7B8F">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 xml:space="preserve">Lancement de l’appel à projets : </w:t>
            </w:r>
          </w:p>
        </w:tc>
        <w:tc>
          <w:tcPr>
            <w:tcW w:w="4814" w:type="dxa"/>
          </w:tcPr>
          <w:p w:rsidR="00551E1E" w:rsidRPr="001463F1" w:rsidRDefault="006B2979" w:rsidP="006B2979">
            <w:pPr>
              <w:spacing w:after="0" w:line="100" w:lineRule="atLeast"/>
              <w:jc w:val="both"/>
              <w:rPr>
                <w:rFonts w:asciiTheme="majorHAnsi" w:hAnsiTheme="majorHAnsi" w:cs="Arial"/>
                <w:color w:val="000000"/>
                <w:kern w:val="1"/>
                <w:lang w:eastAsia="zh-CN"/>
              </w:rPr>
            </w:pPr>
            <w:r>
              <w:rPr>
                <w:rFonts w:asciiTheme="majorHAnsi" w:hAnsiTheme="majorHAnsi" w:cs="Arial"/>
                <w:color w:val="000000"/>
                <w:kern w:val="1"/>
                <w:lang w:eastAsia="zh-CN"/>
              </w:rPr>
              <w:t>F</w:t>
            </w:r>
            <w:r w:rsidR="00551E1E" w:rsidRPr="001463F1">
              <w:rPr>
                <w:rFonts w:asciiTheme="majorHAnsi" w:hAnsiTheme="majorHAnsi" w:cs="Arial"/>
                <w:color w:val="000000"/>
                <w:kern w:val="1"/>
                <w:lang w:eastAsia="zh-CN"/>
              </w:rPr>
              <w:t>évrier 2017</w:t>
            </w:r>
          </w:p>
        </w:tc>
      </w:tr>
      <w:tr w:rsidR="00551E1E" w:rsidRPr="00551E1E" w:rsidTr="008879FC">
        <w:trPr>
          <w:trHeight w:val="606"/>
        </w:trPr>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Ouverture de la plateforme</w:t>
            </w:r>
            <w:r w:rsidR="007E7B8F" w:rsidRPr="001463F1">
              <w:rPr>
                <w:rFonts w:asciiTheme="majorHAnsi" w:hAnsiTheme="majorHAnsi" w:cs="Arial"/>
                <w:color w:val="000000"/>
                <w:kern w:val="1"/>
                <w:lang w:eastAsia="zh-CN"/>
              </w:rPr>
              <w:t xml:space="preserve"> de dépôt des dossiers</w:t>
            </w:r>
            <w:r w:rsidRPr="001463F1">
              <w:rPr>
                <w:rFonts w:asciiTheme="majorHAnsi" w:hAnsiTheme="majorHAnsi" w:cs="Arial"/>
                <w:color w:val="000000"/>
                <w:kern w:val="1"/>
                <w:lang w:eastAsia="zh-CN"/>
              </w:rPr>
              <w:t xml:space="preserve"> </w:t>
            </w:r>
            <w:r w:rsidRPr="001463F1">
              <w:rPr>
                <w:rFonts w:asciiTheme="majorHAnsi" w:hAnsiTheme="majorHAnsi"/>
                <w:color w:val="000000"/>
                <w:kern w:val="1"/>
                <w:vertAlign w:val="superscript"/>
                <w:lang w:eastAsia="zh-CN"/>
              </w:rPr>
              <w:footnoteReference w:id="1"/>
            </w:r>
          </w:p>
        </w:tc>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1</w:t>
            </w:r>
            <w:r w:rsidRPr="001463F1">
              <w:rPr>
                <w:rFonts w:asciiTheme="majorHAnsi" w:hAnsiTheme="majorHAnsi" w:cs="Arial"/>
                <w:color w:val="000000"/>
                <w:kern w:val="1"/>
                <w:vertAlign w:val="superscript"/>
                <w:lang w:eastAsia="zh-CN"/>
              </w:rPr>
              <w:t>er</w:t>
            </w:r>
            <w:r w:rsidRPr="001463F1">
              <w:rPr>
                <w:rFonts w:asciiTheme="majorHAnsi" w:hAnsiTheme="majorHAnsi" w:cs="Arial"/>
                <w:color w:val="000000"/>
                <w:kern w:val="1"/>
                <w:lang w:eastAsia="zh-CN"/>
              </w:rPr>
              <w:t xml:space="preserve"> mars 2017</w:t>
            </w:r>
          </w:p>
        </w:tc>
      </w:tr>
      <w:tr w:rsidR="00551E1E" w:rsidRPr="00551E1E" w:rsidTr="007E7B8F">
        <w:trPr>
          <w:trHeight w:val="699"/>
        </w:trPr>
        <w:tc>
          <w:tcPr>
            <w:tcW w:w="4814" w:type="dxa"/>
          </w:tcPr>
          <w:p w:rsidR="00551E1E" w:rsidRPr="001463F1" w:rsidRDefault="00551E1E" w:rsidP="007E7B8F">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Date-butoir de dépôt des dossiers sur la plateforme par les écoles doctorales.</w:t>
            </w:r>
          </w:p>
        </w:tc>
        <w:tc>
          <w:tcPr>
            <w:tcW w:w="4814" w:type="dxa"/>
          </w:tcPr>
          <w:p w:rsidR="00551E1E" w:rsidRPr="001463F1" w:rsidRDefault="00551E1E" w:rsidP="0055549C">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31</w:t>
            </w:r>
            <w:r w:rsidR="0055549C">
              <w:rPr>
                <w:rFonts w:asciiTheme="majorHAnsi" w:hAnsiTheme="majorHAnsi" w:cs="Arial"/>
                <w:color w:val="000000"/>
                <w:kern w:val="1"/>
                <w:lang w:eastAsia="zh-CN"/>
              </w:rPr>
              <w:t xml:space="preserve"> mars </w:t>
            </w:r>
            <w:r w:rsidRPr="001463F1">
              <w:rPr>
                <w:rFonts w:asciiTheme="majorHAnsi" w:hAnsiTheme="majorHAnsi" w:cs="Arial"/>
                <w:color w:val="000000"/>
                <w:kern w:val="1"/>
                <w:lang w:eastAsia="zh-CN"/>
              </w:rPr>
              <w:t>2017</w:t>
            </w:r>
          </w:p>
        </w:tc>
      </w:tr>
      <w:tr w:rsidR="00551E1E" w:rsidRPr="00551E1E" w:rsidTr="006C0646">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Sollicitation et recueil des avis des experts par le prestataire</w:t>
            </w:r>
          </w:p>
        </w:tc>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Mars-28 juin 2017</w:t>
            </w:r>
          </w:p>
        </w:tc>
      </w:tr>
      <w:tr w:rsidR="00551E1E" w:rsidRPr="00551E1E" w:rsidTr="006C0646">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Soumission aux élus de la Commission thématique de l’ensemble des dossiers avec les différents avis exprimés et de la liste des sujets susceptibles d’être retenus sur liste principale ou sur liste complémentaire</w:t>
            </w:r>
          </w:p>
        </w:tc>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3 juillet 2017</w:t>
            </w:r>
          </w:p>
        </w:tc>
      </w:tr>
      <w:tr w:rsidR="00551E1E" w:rsidRPr="00551E1E" w:rsidTr="006C0646">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Approbation par la Commission Permanente du Conseil Régional</w:t>
            </w:r>
          </w:p>
        </w:tc>
        <w:tc>
          <w:tcPr>
            <w:tcW w:w="4814" w:type="dxa"/>
          </w:tcPr>
          <w:p w:rsidR="00551E1E" w:rsidRPr="001463F1" w:rsidRDefault="0060706E" w:rsidP="00551E1E">
            <w:pPr>
              <w:spacing w:after="0" w:line="100" w:lineRule="atLeast"/>
              <w:jc w:val="both"/>
              <w:rPr>
                <w:rFonts w:asciiTheme="majorHAnsi" w:hAnsiTheme="majorHAnsi" w:cs="Arial"/>
                <w:color w:val="000000"/>
                <w:kern w:val="1"/>
                <w:lang w:eastAsia="zh-CN"/>
              </w:rPr>
            </w:pPr>
            <w:r>
              <w:rPr>
                <w:rFonts w:asciiTheme="majorHAnsi" w:hAnsiTheme="majorHAnsi" w:cs="Arial"/>
                <w:color w:val="000000"/>
                <w:kern w:val="1"/>
                <w:lang w:eastAsia="zh-CN"/>
              </w:rPr>
              <w:t xml:space="preserve">13 juillet </w:t>
            </w:r>
            <w:r w:rsidR="00551E1E" w:rsidRPr="001463F1">
              <w:rPr>
                <w:rFonts w:asciiTheme="majorHAnsi" w:hAnsiTheme="majorHAnsi" w:cs="Arial"/>
                <w:color w:val="000000"/>
                <w:kern w:val="1"/>
                <w:lang w:eastAsia="zh-CN"/>
              </w:rPr>
              <w:t>2017</w:t>
            </w:r>
          </w:p>
        </w:tc>
      </w:tr>
      <w:tr w:rsidR="00551E1E" w:rsidRPr="00551E1E" w:rsidTr="006C0646">
        <w:tc>
          <w:tcPr>
            <w:tcW w:w="4814" w:type="dxa"/>
          </w:tcPr>
          <w:p w:rsidR="00551E1E" w:rsidRPr="001463F1" w:rsidRDefault="00551E1E" w:rsidP="001463F1">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Envoi des notifications aux organismes gestionnaires et informations des écoles doctorales</w:t>
            </w:r>
          </w:p>
        </w:tc>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Juillet-août 2017</w:t>
            </w:r>
          </w:p>
        </w:tc>
      </w:tr>
      <w:tr w:rsidR="00551E1E" w:rsidRPr="00551E1E" w:rsidTr="006C0646">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Date butoir de transmissi</w:t>
            </w:r>
            <w:bookmarkStart w:id="0" w:name="_GoBack"/>
            <w:bookmarkEnd w:id="0"/>
            <w:r w:rsidRPr="001463F1">
              <w:rPr>
                <w:rFonts w:asciiTheme="majorHAnsi" w:hAnsiTheme="majorHAnsi" w:cs="Arial"/>
                <w:color w:val="000000"/>
                <w:kern w:val="1"/>
                <w:lang w:eastAsia="zh-CN"/>
              </w:rPr>
              <w:t>on du CV du doctorant recruté en vue de l’établissement des conventions</w:t>
            </w:r>
          </w:p>
        </w:tc>
        <w:tc>
          <w:tcPr>
            <w:tcW w:w="4814" w:type="dxa"/>
          </w:tcPr>
          <w:p w:rsidR="00551E1E" w:rsidRPr="001463F1" w:rsidRDefault="00401615" w:rsidP="007E7B8F">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 xml:space="preserve">Fin </w:t>
            </w:r>
            <w:r w:rsidR="007E7B8F" w:rsidRPr="001463F1">
              <w:rPr>
                <w:rFonts w:asciiTheme="majorHAnsi" w:hAnsiTheme="majorHAnsi" w:cs="Arial"/>
                <w:color w:val="000000"/>
                <w:kern w:val="1"/>
                <w:lang w:eastAsia="zh-CN"/>
              </w:rPr>
              <w:t>1</w:t>
            </w:r>
            <w:r w:rsidR="007E7B8F" w:rsidRPr="001463F1">
              <w:rPr>
                <w:rFonts w:asciiTheme="majorHAnsi" w:hAnsiTheme="majorHAnsi" w:cs="Arial"/>
                <w:color w:val="000000"/>
                <w:kern w:val="1"/>
                <w:vertAlign w:val="superscript"/>
                <w:lang w:eastAsia="zh-CN"/>
              </w:rPr>
              <w:t>ère</w:t>
            </w:r>
            <w:r w:rsidR="007E7B8F" w:rsidRPr="001463F1">
              <w:rPr>
                <w:rFonts w:asciiTheme="majorHAnsi" w:hAnsiTheme="majorHAnsi" w:cs="Arial"/>
                <w:color w:val="000000"/>
                <w:kern w:val="1"/>
                <w:lang w:eastAsia="zh-CN"/>
              </w:rPr>
              <w:t xml:space="preserve"> quinzaine de s</w:t>
            </w:r>
            <w:r w:rsidR="00551E1E" w:rsidRPr="001463F1">
              <w:rPr>
                <w:rFonts w:asciiTheme="majorHAnsi" w:hAnsiTheme="majorHAnsi" w:cs="Arial"/>
                <w:color w:val="000000"/>
                <w:kern w:val="1"/>
                <w:lang w:eastAsia="zh-CN"/>
              </w:rPr>
              <w:t>eptembre 2017</w:t>
            </w:r>
          </w:p>
        </w:tc>
      </w:tr>
      <w:tr w:rsidR="00551E1E" w:rsidRPr="00551E1E" w:rsidTr="006C0646">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Notification des conventions</w:t>
            </w:r>
          </w:p>
        </w:tc>
        <w:tc>
          <w:tcPr>
            <w:tcW w:w="4814" w:type="dxa"/>
          </w:tcPr>
          <w:p w:rsidR="00551E1E" w:rsidRPr="001463F1" w:rsidRDefault="00551E1E"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A partir d’octobre 2017</w:t>
            </w:r>
          </w:p>
        </w:tc>
      </w:tr>
      <w:tr w:rsidR="008879FC" w:rsidRPr="001463F1" w:rsidTr="006C0646">
        <w:tc>
          <w:tcPr>
            <w:tcW w:w="4814" w:type="dxa"/>
          </w:tcPr>
          <w:p w:rsidR="008879FC" w:rsidRPr="001463F1" w:rsidRDefault="008879FC" w:rsidP="008879FC">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 xml:space="preserve">Principe en matière de versement : 1 x an à compter de l’année n+1 de l’année de notification du soutien régional à l’organisme gestionnaire </w:t>
            </w:r>
          </w:p>
          <w:p w:rsidR="008879FC" w:rsidRPr="001463F1" w:rsidRDefault="008879FC" w:rsidP="008879FC">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Les contrats de travail sont établis par l’organisme gestionnaire et non par la Région.</w:t>
            </w:r>
          </w:p>
        </w:tc>
        <w:tc>
          <w:tcPr>
            <w:tcW w:w="4814" w:type="dxa"/>
          </w:tcPr>
          <w:p w:rsidR="008879FC" w:rsidRPr="001463F1" w:rsidRDefault="008879FC" w:rsidP="00551E1E">
            <w:pPr>
              <w:spacing w:after="0" w:line="100" w:lineRule="atLeast"/>
              <w:jc w:val="both"/>
              <w:rPr>
                <w:rFonts w:asciiTheme="majorHAnsi" w:hAnsiTheme="majorHAnsi" w:cs="Arial"/>
                <w:color w:val="000000"/>
                <w:kern w:val="1"/>
                <w:lang w:eastAsia="zh-CN"/>
              </w:rPr>
            </w:pPr>
            <w:r w:rsidRPr="001463F1">
              <w:rPr>
                <w:rFonts w:asciiTheme="majorHAnsi" w:hAnsiTheme="majorHAnsi" w:cs="Arial"/>
                <w:color w:val="000000"/>
                <w:kern w:val="1"/>
                <w:lang w:eastAsia="zh-CN"/>
              </w:rPr>
              <w:t>A partir de janvier 2017 sur demande auprès des services de la Région</w:t>
            </w:r>
          </w:p>
        </w:tc>
      </w:tr>
    </w:tbl>
    <w:p w:rsidR="00344807" w:rsidRPr="001463F1" w:rsidRDefault="00344807" w:rsidP="007B2C73">
      <w:pPr>
        <w:spacing w:after="0"/>
        <w:rPr>
          <w:rFonts w:asciiTheme="majorHAnsi" w:hAnsiTheme="majorHAnsi"/>
        </w:rPr>
      </w:pPr>
    </w:p>
    <w:sectPr w:rsidR="00344807" w:rsidRPr="001463F1" w:rsidSect="006C0646">
      <w:footerReference w:type="even" r:id="rId8"/>
      <w:footerReference w:type="default" r:id="rId9"/>
      <w:pgSz w:w="11906" w:h="16838"/>
      <w:pgMar w:top="426" w:right="849" w:bottom="1560" w:left="1276" w:header="42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46" w:rsidRDefault="006C0646" w:rsidP="00EC52A0">
      <w:pPr>
        <w:spacing w:after="0" w:line="240" w:lineRule="auto"/>
      </w:pPr>
      <w:r>
        <w:separator/>
      </w:r>
    </w:p>
  </w:endnote>
  <w:endnote w:type="continuationSeparator" w:id="0">
    <w:p w:rsidR="006C0646" w:rsidRDefault="006C0646" w:rsidP="00EC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7890Ef372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Schoolbook">
    <w:altName w:val="Times New Roman"/>
    <w:charset w:val="00"/>
    <w:family w:val="roman"/>
    <w:pitch w:val="variable"/>
    <w:sig w:usb0="00000001"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46" w:rsidRDefault="006C064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46" w:rsidRPr="00F464BD" w:rsidRDefault="006C0646" w:rsidP="006C0646">
    <w:pPr>
      <w:spacing w:after="0" w:line="240" w:lineRule="auto"/>
      <w:ind w:left="-426"/>
      <w:jc w:val="center"/>
      <w:rPr>
        <w:b/>
        <w:sz w:val="16"/>
        <w:szCs w:val="16"/>
      </w:rPr>
    </w:pPr>
    <w:r w:rsidRPr="00F464BD">
      <w:rPr>
        <w:b/>
        <w:sz w:val="16"/>
        <w:szCs w:val="16"/>
      </w:rPr>
      <w:t>Direction de la Compétitivité et de la Connaissance</w:t>
    </w:r>
  </w:p>
  <w:p w:rsidR="006C0646" w:rsidRPr="00F464BD" w:rsidRDefault="006C0646" w:rsidP="006C0646">
    <w:pPr>
      <w:spacing w:after="0" w:line="240" w:lineRule="auto"/>
      <w:ind w:left="-426"/>
      <w:jc w:val="center"/>
      <w:rPr>
        <w:b/>
        <w:sz w:val="16"/>
        <w:szCs w:val="16"/>
      </w:rPr>
    </w:pPr>
    <w:r w:rsidRPr="00F464BD">
      <w:rPr>
        <w:b/>
        <w:sz w:val="16"/>
        <w:szCs w:val="16"/>
      </w:rPr>
      <w:t>Service Enseignement Supérieur, Recherche</w:t>
    </w:r>
    <w:r>
      <w:rPr>
        <w:b/>
        <w:sz w:val="16"/>
        <w:szCs w:val="16"/>
      </w:rPr>
      <w:t>, Innovation</w:t>
    </w:r>
  </w:p>
  <w:p w:rsidR="006C0646" w:rsidRPr="008D0330" w:rsidRDefault="006C0646">
    <w:pPr>
      <w:pStyle w:val="Pieddepage"/>
      <w:rPr>
        <w:b/>
        <w:i/>
        <w:sz w:val="18"/>
        <w:szCs w:val="18"/>
      </w:rPr>
    </w:pPr>
    <w:r>
      <w:rPr>
        <w:b/>
        <w:i/>
        <w:noProof/>
        <w:sz w:val="18"/>
        <w:szCs w:val="18"/>
      </w:rPr>
      <w:t>Février 2017</w:t>
    </w:r>
    <w:r>
      <w:rPr>
        <w:b/>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46" w:rsidRDefault="006C0646" w:rsidP="00EC52A0">
      <w:pPr>
        <w:spacing w:after="0" w:line="240" w:lineRule="auto"/>
      </w:pPr>
      <w:r>
        <w:separator/>
      </w:r>
    </w:p>
  </w:footnote>
  <w:footnote w:type="continuationSeparator" w:id="0">
    <w:p w:rsidR="006C0646" w:rsidRDefault="006C0646" w:rsidP="00EC52A0">
      <w:pPr>
        <w:spacing w:after="0" w:line="240" w:lineRule="auto"/>
      </w:pPr>
      <w:r>
        <w:continuationSeparator/>
      </w:r>
    </w:p>
  </w:footnote>
  <w:footnote w:id="1">
    <w:p w:rsidR="006C0646" w:rsidRPr="00551E1E" w:rsidRDefault="006C0646" w:rsidP="00551E1E">
      <w:pPr>
        <w:pStyle w:val="Notedebasdepage"/>
        <w:rPr>
          <w:rStyle w:val="Appelnotedebasdep"/>
          <w:rFonts w:asciiTheme="minorHAnsi" w:hAnsiTheme="minorHAnsi"/>
          <w:sz w:val="28"/>
          <w:szCs w:val="28"/>
        </w:rPr>
      </w:pPr>
      <w:r w:rsidRPr="00551E1E">
        <w:rPr>
          <w:rStyle w:val="Appelnotedebasdep"/>
          <w:rFonts w:asciiTheme="minorHAnsi" w:hAnsiTheme="minorHAnsi"/>
          <w:sz w:val="28"/>
          <w:szCs w:val="28"/>
        </w:rPr>
        <w:footnoteRef/>
      </w:r>
      <w:r w:rsidRPr="00551E1E">
        <w:rPr>
          <w:rStyle w:val="Appelnotedebasdep"/>
          <w:rFonts w:asciiTheme="minorHAnsi" w:hAnsiTheme="minorHAnsi"/>
          <w:sz w:val="28"/>
          <w:szCs w:val="28"/>
        </w:rPr>
        <w:t xml:space="preserve"> Des précisions sur le fonctionnement de la plateforme seront apportées avant son ouverture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D19FC"/>
    <w:multiLevelType w:val="hybridMultilevel"/>
    <w:tmpl w:val="80C8E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BA6E19"/>
    <w:multiLevelType w:val="hybridMultilevel"/>
    <w:tmpl w:val="27400ABC"/>
    <w:lvl w:ilvl="0" w:tplc="5EF695BE">
      <w:numFmt w:val="bullet"/>
      <w:lvlText w:val=""/>
      <w:lvlJc w:val="left"/>
      <w:pPr>
        <w:ind w:left="720" w:hanging="360"/>
      </w:pPr>
      <w:rPr>
        <w:rFonts w:ascii="Wingdings" w:eastAsia="Times New Roman" w:hAnsi="Wingdings" w:cs="Arial Unicode MS" w:hint="default"/>
        <w:b w:val="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5D3D5B"/>
    <w:multiLevelType w:val="hybridMultilevel"/>
    <w:tmpl w:val="16BECA0E"/>
    <w:lvl w:ilvl="0" w:tplc="040C0001">
      <w:start w:val="1"/>
      <w:numFmt w:val="bullet"/>
      <w:lvlText w:val=""/>
      <w:lvlJc w:val="left"/>
      <w:pPr>
        <w:ind w:left="294" w:hanging="360"/>
      </w:pPr>
      <w:rPr>
        <w:rFonts w:ascii="Symbol" w:hAnsi="Symbol" w:hint="default"/>
      </w:rPr>
    </w:lvl>
    <w:lvl w:ilvl="1" w:tplc="040C0003">
      <w:start w:val="1"/>
      <w:numFmt w:val="bullet"/>
      <w:lvlText w:val="o"/>
      <w:lvlJc w:val="left"/>
      <w:pPr>
        <w:ind w:left="1014" w:hanging="360"/>
      </w:pPr>
      <w:rPr>
        <w:rFonts w:ascii="Courier New" w:hAnsi="Courier New" w:cs="Courier New" w:hint="default"/>
      </w:rPr>
    </w:lvl>
    <w:lvl w:ilvl="2" w:tplc="040C0005">
      <w:start w:val="1"/>
      <w:numFmt w:val="bullet"/>
      <w:lvlText w:val=""/>
      <w:lvlJc w:val="left"/>
      <w:pPr>
        <w:ind w:left="1734" w:hanging="360"/>
      </w:pPr>
      <w:rPr>
        <w:rFonts w:ascii="Wingdings" w:hAnsi="Wingdings" w:hint="default"/>
      </w:rPr>
    </w:lvl>
    <w:lvl w:ilvl="3" w:tplc="040C000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15:restartNumberingAfterBreak="0">
    <w:nsid w:val="216317B5"/>
    <w:multiLevelType w:val="hybridMultilevel"/>
    <w:tmpl w:val="5EF69AAC"/>
    <w:lvl w:ilvl="0" w:tplc="040C000F">
      <w:start w:val="1"/>
      <w:numFmt w:val="decimal"/>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4" w15:restartNumberingAfterBreak="0">
    <w:nsid w:val="25985FA0"/>
    <w:multiLevelType w:val="hybridMultilevel"/>
    <w:tmpl w:val="B1C8BF1C"/>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5" w15:restartNumberingAfterBreak="0">
    <w:nsid w:val="36A809C6"/>
    <w:multiLevelType w:val="hybridMultilevel"/>
    <w:tmpl w:val="BA840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E414638"/>
    <w:multiLevelType w:val="hybridMultilevel"/>
    <w:tmpl w:val="4EFCAF52"/>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7" w15:restartNumberingAfterBreak="0">
    <w:nsid w:val="5B1E666B"/>
    <w:multiLevelType w:val="hybridMultilevel"/>
    <w:tmpl w:val="37DA2108"/>
    <w:lvl w:ilvl="0" w:tplc="BE7C4E4C">
      <w:start w:val="12"/>
      <w:numFmt w:val="bullet"/>
      <w:lvlText w:val="-"/>
      <w:lvlJc w:val="left"/>
      <w:pPr>
        <w:ind w:left="720" w:hanging="360"/>
      </w:pPr>
      <w:rPr>
        <w:rFonts w:ascii="7890Ef372Arial" w:eastAsiaTheme="minorHAnsi" w:hAnsi="7890Ef372Arial" w:cs="7890Ef372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021956"/>
    <w:multiLevelType w:val="hybridMultilevel"/>
    <w:tmpl w:val="3D4CDE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709E2B57"/>
    <w:multiLevelType w:val="hybridMultilevel"/>
    <w:tmpl w:val="F57C53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4"/>
  </w:num>
  <w:num w:numId="5">
    <w:abstractNumId w:val="9"/>
  </w:num>
  <w:num w:numId="6">
    <w:abstractNumId w:val="2"/>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A0"/>
    <w:rsid w:val="00084E3A"/>
    <w:rsid w:val="00126F5D"/>
    <w:rsid w:val="001463F1"/>
    <w:rsid w:val="00165A27"/>
    <w:rsid w:val="00260CBE"/>
    <w:rsid w:val="00262CB8"/>
    <w:rsid w:val="00327E7E"/>
    <w:rsid w:val="00343A21"/>
    <w:rsid w:val="00344807"/>
    <w:rsid w:val="003A7D93"/>
    <w:rsid w:val="003D3233"/>
    <w:rsid w:val="00401615"/>
    <w:rsid w:val="00467A08"/>
    <w:rsid w:val="00551E1E"/>
    <w:rsid w:val="0055549C"/>
    <w:rsid w:val="005B521F"/>
    <w:rsid w:val="005D7762"/>
    <w:rsid w:val="0060706E"/>
    <w:rsid w:val="006B2979"/>
    <w:rsid w:val="006C0646"/>
    <w:rsid w:val="006C0D99"/>
    <w:rsid w:val="006F43F2"/>
    <w:rsid w:val="00760FD0"/>
    <w:rsid w:val="007B2C73"/>
    <w:rsid w:val="007E7B8F"/>
    <w:rsid w:val="008879FC"/>
    <w:rsid w:val="008E266D"/>
    <w:rsid w:val="00962203"/>
    <w:rsid w:val="00966D06"/>
    <w:rsid w:val="00A25F25"/>
    <w:rsid w:val="00A6601E"/>
    <w:rsid w:val="00AD21AA"/>
    <w:rsid w:val="00B73002"/>
    <w:rsid w:val="00B80F80"/>
    <w:rsid w:val="00BC2EF6"/>
    <w:rsid w:val="00BE196F"/>
    <w:rsid w:val="00C26B7B"/>
    <w:rsid w:val="00C83BB5"/>
    <w:rsid w:val="00C96D9F"/>
    <w:rsid w:val="00CA7D4A"/>
    <w:rsid w:val="00CE4A3A"/>
    <w:rsid w:val="00D34557"/>
    <w:rsid w:val="00D65C73"/>
    <w:rsid w:val="00D80285"/>
    <w:rsid w:val="00E32F05"/>
    <w:rsid w:val="00E77E66"/>
    <w:rsid w:val="00E87CA2"/>
    <w:rsid w:val="00EC52A0"/>
    <w:rsid w:val="00EE6DC3"/>
    <w:rsid w:val="00F13A64"/>
    <w:rsid w:val="00F76A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95C51830-1EC8-475B-910E-142ECFBB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2A0"/>
    <w:pPr>
      <w:spacing w:after="200" w:line="252" w:lineRule="auto"/>
    </w:pPr>
    <w:rPr>
      <w:rFonts w:ascii="Calibri Light" w:eastAsia="Times New Roman" w:hAnsi="Calibri Light"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52A0"/>
    <w:pPr>
      <w:tabs>
        <w:tab w:val="center" w:pos="4536"/>
        <w:tab w:val="right" w:pos="9072"/>
      </w:tabs>
    </w:pPr>
  </w:style>
  <w:style w:type="character" w:customStyle="1" w:styleId="En-tteCar">
    <w:name w:val="En-tête Car"/>
    <w:basedOn w:val="Policepardfaut"/>
    <w:link w:val="En-tte"/>
    <w:uiPriority w:val="99"/>
    <w:rsid w:val="00EC52A0"/>
    <w:rPr>
      <w:rFonts w:ascii="Calibri Light" w:eastAsia="Times New Roman" w:hAnsi="Calibri Light" w:cs="Times New Roman"/>
      <w:lang w:eastAsia="fr-FR"/>
    </w:rPr>
  </w:style>
  <w:style w:type="paragraph" w:styleId="Pieddepage">
    <w:name w:val="footer"/>
    <w:basedOn w:val="Normal"/>
    <w:link w:val="PieddepageCar"/>
    <w:uiPriority w:val="99"/>
    <w:unhideWhenUsed/>
    <w:rsid w:val="00EC52A0"/>
    <w:pPr>
      <w:tabs>
        <w:tab w:val="center" w:pos="4536"/>
        <w:tab w:val="right" w:pos="9072"/>
      </w:tabs>
    </w:pPr>
  </w:style>
  <w:style w:type="character" w:customStyle="1" w:styleId="PieddepageCar">
    <w:name w:val="Pied de page Car"/>
    <w:basedOn w:val="Policepardfaut"/>
    <w:link w:val="Pieddepage"/>
    <w:uiPriority w:val="99"/>
    <w:rsid w:val="00EC52A0"/>
    <w:rPr>
      <w:rFonts w:ascii="Calibri Light" w:eastAsia="Times New Roman" w:hAnsi="Calibri Light" w:cs="Times New Roman"/>
      <w:lang w:eastAsia="fr-FR"/>
    </w:rPr>
  </w:style>
  <w:style w:type="character" w:styleId="Lienhypertexte">
    <w:name w:val="Hyperlink"/>
    <w:uiPriority w:val="99"/>
    <w:unhideWhenUsed/>
    <w:rsid w:val="00EC52A0"/>
    <w:rPr>
      <w:color w:val="0000FF"/>
      <w:u w:val="single"/>
    </w:rPr>
  </w:style>
  <w:style w:type="paragraph" w:styleId="Paragraphedeliste">
    <w:name w:val="List Paragraph"/>
    <w:basedOn w:val="Normal"/>
    <w:uiPriority w:val="34"/>
    <w:qFormat/>
    <w:rsid w:val="00126F5D"/>
    <w:pPr>
      <w:ind w:left="720"/>
      <w:contextualSpacing/>
    </w:pPr>
  </w:style>
  <w:style w:type="paragraph" w:customStyle="1" w:styleId="Default">
    <w:name w:val="Default"/>
    <w:rsid w:val="003D3233"/>
    <w:pPr>
      <w:autoSpaceDE w:val="0"/>
      <w:autoSpaceDN w:val="0"/>
      <w:adjustRightInd w:val="0"/>
      <w:spacing w:after="0" w:line="240" w:lineRule="auto"/>
    </w:pPr>
    <w:rPr>
      <w:rFonts w:ascii="Calibri" w:eastAsia="Calibri" w:hAnsi="Calibri" w:cs="Calibri"/>
      <w:color w:val="000000"/>
      <w:sz w:val="24"/>
      <w:szCs w:val="24"/>
      <w:lang w:eastAsia="fr-FR"/>
    </w:rPr>
  </w:style>
  <w:style w:type="paragraph" w:customStyle="1" w:styleId="texte">
    <w:name w:val="_texte"/>
    <w:link w:val="texteCar1"/>
    <w:qFormat/>
    <w:rsid w:val="00D65C73"/>
    <w:pPr>
      <w:spacing w:after="120" w:line="240" w:lineRule="auto"/>
      <w:ind w:left="284"/>
      <w:jc w:val="both"/>
    </w:pPr>
    <w:rPr>
      <w:rFonts w:ascii="Century Schoolbook" w:eastAsia="Times New Roman" w:hAnsi="Century Schoolbook" w:cs="Times New Roman"/>
      <w:sz w:val="20"/>
      <w:szCs w:val="20"/>
    </w:rPr>
  </w:style>
  <w:style w:type="character" w:customStyle="1" w:styleId="texteCar1">
    <w:name w:val="_texte Car1"/>
    <w:link w:val="texte"/>
    <w:rsid w:val="00D65C73"/>
    <w:rPr>
      <w:rFonts w:ascii="Century Schoolbook" w:eastAsia="Times New Roman" w:hAnsi="Century Schoolbook" w:cs="Times New Roman"/>
      <w:sz w:val="20"/>
      <w:szCs w:val="20"/>
    </w:rPr>
  </w:style>
  <w:style w:type="paragraph" w:styleId="Corpsdetexte">
    <w:name w:val="Body Text"/>
    <w:basedOn w:val="Normal"/>
    <w:link w:val="CorpsdetexteCar"/>
    <w:rsid w:val="00F13A64"/>
    <w:pPr>
      <w:spacing w:after="0" w:line="360" w:lineRule="auto"/>
      <w:jc w:val="both"/>
    </w:pPr>
    <w:rPr>
      <w:rFonts w:ascii="Trebuchet MS" w:hAnsi="Trebuchet MS" w:cs="Arial Unicode MS"/>
      <w:sz w:val="24"/>
      <w:szCs w:val="24"/>
      <w:lang w:eastAsia="en-US"/>
    </w:rPr>
  </w:style>
  <w:style w:type="character" w:customStyle="1" w:styleId="CorpsdetexteCar">
    <w:name w:val="Corps de texte Car"/>
    <w:basedOn w:val="Policepardfaut"/>
    <w:link w:val="Corpsdetexte"/>
    <w:rsid w:val="00F13A64"/>
    <w:rPr>
      <w:rFonts w:ascii="Trebuchet MS" w:eastAsia="Times New Roman" w:hAnsi="Trebuchet MS" w:cs="Arial Unicode MS"/>
      <w:sz w:val="24"/>
      <w:szCs w:val="24"/>
    </w:rPr>
  </w:style>
  <w:style w:type="paragraph" w:styleId="Corpsdetexte2">
    <w:name w:val="Body Text 2"/>
    <w:basedOn w:val="Normal"/>
    <w:link w:val="Corpsdetexte2Car"/>
    <w:rsid w:val="00F13A64"/>
    <w:pPr>
      <w:spacing w:after="0" w:line="240" w:lineRule="auto"/>
      <w:jc w:val="both"/>
    </w:pPr>
    <w:rPr>
      <w:rFonts w:ascii="Trebuchet MS" w:hAnsi="Trebuchet MS" w:cs="Arial Unicode MS"/>
      <w:szCs w:val="24"/>
      <w:lang w:eastAsia="en-US"/>
    </w:rPr>
  </w:style>
  <w:style w:type="character" w:customStyle="1" w:styleId="Corpsdetexte2Car">
    <w:name w:val="Corps de texte 2 Car"/>
    <w:basedOn w:val="Policepardfaut"/>
    <w:link w:val="Corpsdetexte2"/>
    <w:rsid w:val="00F13A64"/>
    <w:rPr>
      <w:rFonts w:ascii="Trebuchet MS" w:eastAsia="Times New Roman" w:hAnsi="Trebuchet MS" w:cs="Arial Unicode MS"/>
      <w:szCs w:val="24"/>
    </w:rPr>
  </w:style>
  <w:style w:type="character" w:styleId="Lienhypertextesuivivisit">
    <w:name w:val="FollowedHyperlink"/>
    <w:basedOn w:val="Policepardfaut"/>
    <w:uiPriority w:val="99"/>
    <w:semiHidden/>
    <w:unhideWhenUsed/>
    <w:rsid w:val="00551E1E"/>
    <w:rPr>
      <w:color w:val="954F72" w:themeColor="followedHyperlink"/>
      <w:u w:val="single"/>
    </w:rPr>
  </w:style>
  <w:style w:type="paragraph" w:styleId="Notedebasdepage">
    <w:name w:val="footnote text"/>
    <w:basedOn w:val="Normal"/>
    <w:link w:val="NotedebasdepageCar"/>
    <w:uiPriority w:val="99"/>
    <w:semiHidden/>
    <w:unhideWhenUsed/>
    <w:rsid w:val="00551E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51E1E"/>
    <w:rPr>
      <w:rFonts w:ascii="Calibri Light" w:eastAsia="Times New Roman" w:hAnsi="Calibri Light" w:cs="Times New Roman"/>
      <w:sz w:val="20"/>
      <w:szCs w:val="20"/>
      <w:lang w:eastAsia="fr-FR"/>
    </w:rPr>
  </w:style>
  <w:style w:type="character" w:styleId="Appelnotedebasdep">
    <w:name w:val="footnote reference"/>
    <w:rsid w:val="00551E1E"/>
    <w:rPr>
      <w:rFonts w:cs="Times New Roman"/>
      <w:vertAlign w:val="superscript"/>
    </w:rPr>
  </w:style>
  <w:style w:type="table" w:styleId="Grilledutableau">
    <w:name w:val="Table Grid"/>
    <w:basedOn w:val="TableauNormal"/>
    <w:rsid w:val="00551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4</Pages>
  <Words>1263</Words>
  <Characters>6949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REGION ALSACE</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 Damien</dc:creator>
  <cp:keywords/>
  <dc:description/>
  <cp:lastModifiedBy>BOLL Damien</cp:lastModifiedBy>
  <cp:revision>25</cp:revision>
  <dcterms:created xsi:type="dcterms:W3CDTF">2017-02-10T09:09:00Z</dcterms:created>
  <dcterms:modified xsi:type="dcterms:W3CDTF">2017-02-14T11:23:00Z</dcterms:modified>
</cp:coreProperties>
</file>